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600" w:lineRule="auto"/>
        <w:ind w:firstLine="0" w:firstLineChars="0"/>
        <w:jc w:val="center"/>
        <w:rPr>
          <w:rFonts w:ascii="方正小标宋简体" w:hAnsi="Times New Roman" w:eastAsia="方正小标宋简体" w:cs="Times New Roman"/>
          <w:sz w:val="36"/>
          <w:szCs w:val="36"/>
        </w:rPr>
      </w:pPr>
      <w:bookmarkStart w:id="0" w:name="_GoBack"/>
      <w:bookmarkEnd w:id="0"/>
      <w:r>
        <w:rPr>
          <w:rFonts w:hint="eastAsia" w:ascii="方正小标宋简体" w:hAnsi="Times New Roman" w:eastAsia="方正小标宋简体" w:cs="Times New Roman"/>
          <w:sz w:val="36"/>
          <w:szCs w:val="36"/>
        </w:rPr>
        <w:t>2024年上半年福州市物流业运行情况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上半年，全市物流业</w:t>
      </w:r>
      <w:r>
        <w:rPr>
          <w:rFonts w:hint="eastAsia" w:ascii="仿宋_GB2312" w:hAnsi="Times New Roman" w:eastAsia="仿宋_GB2312" w:cs="Times New Roman"/>
          <w:sz w:val="32"/>
          <w:szCs w:val="32"/>
          <w:lang w:eastAsia="zh-CN"/>
        </w:rPr>
        <w:t>总体呈现</w:t>
      </w:r>
      <w:r>
        <w:rPr>
          <w:rFonts w:hint="eastAsia" w:ascii="仿宋_GB2312" w:hAnsi="Times New Roman" w:eastAsia="仿宋_GB2312" w:cs="Times New Roman"/>
          <w:sz w:val="32"/>
          <w:szCs w:val="32"/>
        </w:rPr>
        <w:t>平稳发展</w:t>
      </w:r>
      <w:r>
        <w:rPr>
          <w:rFonts w:hint="default" w:ascii="仿宋_GB2312" w:hAnsi="Times New Roman" w:eastAsia="仿宋_GB2312" w:cs="Times New Roman"/>
          <w:sz w:val="32"/>
          <w:szCs w:val="32"/>
          <w:lang w:val="en"/>
        </w:rPr>
        <w:t>,</w:t>
      </w:r>
      <w:r>
        <w:rPr>
          <w:rFonts w:hint="eastAsia" w:ascii="仿宋_GB2312" w:hAnsi="Times New Roman" w:eastAsia="仿宋_GB2312" w:cs="Times New Roman"/>
          <w:sz w:val="32"/>
          <w:szCs w:val="32"/>
          <w:lang w:val="en" w:eastAsia="zh-CN"/>
        </w:rPr>
        <w:t>但是</w:t>
      </w:r>
      <w:r>
        <w:rPr>
          <w:rFonts w:hint="eastAsia" w:ascii="仿宋_GB2312" w:hAnsi="Times New Roman" w:eastAsia="仿宋_GB2312" w:cs="Times New Roman"/>
          <w:sz w:val="32"/>
          <w:szCs w:val="32"/>
        </w:rPr>
        <w:t>物流业增加值、</w:t>
      </w:r>
      <w:r>
        <w:rPr>
          <w:rFonts w:hint="eastAsia" w:ascii="仿宋_GB2312" w:hAnsi="Times New Roman" w:eastAsia="仿宋_GB2312" w:cs="Times New Roman"/>
          <w:sz w:val="32"/>
          <w:szCs w:val="32"/>
          <w:lang w:val="en-US" w:eastAsia="zh-CN"/>
        </w:rPr>
        <w:t>物流业</w:t>
      </w:r>
      <w:r>
        <w:rPr>
          <w:rFonts w:hint="eastAsia" w:ascii="仿宋_GB2312" w:hAnsi="Times New Roman" w:eastAsia="仿宋_GB2312" w:cs="Times New Roman"/>
          <w:sz w:val="32"/>
          <w:szCs w:val="32"/>
        </w:rPr>
        <w:t>业务收入两项指标增势有所放缓，物流业投资出现</w:t>
      </w:r>
      <w:r>
        <w:rPr>
          <w:rFonts w:hint="eastAsia" w:ascii="仿宋_GB2312" w:hAnsi="Times New Roman" w:eastAsia="仿宋_GB2312" w:cs="Times New Roman"/>
          <w:sz w:val="32"/>
          <w:szCs w:val="32"/>
          <w:lang w:val="en-US" w:eastAsia="zh-CN"/>
        </w:rPr>
        <w:t>较大</w:t>
      </w:r>
      <w:r>
        <w:rPr>
          <w:rFonts w:hint="eastAsia" w:ascii="仿宋_GB2312" w:hAnsi="Times New Roman" w:eastAsia="仿宋_GB2312" w:cs="Times New Roman"/>
          <w:sz w:val="32"/>
          <w:szCs w:val="32"/>
        </w:rPr>
        <w:t>波动。</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一、福州市物流业业务收入增速放缓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据初步测算，上半年，全市物流业业务收入</w:t>
      </w:r>
      <w:r>
        <w:rPr>
          <w:rFonts w:ascii="仿宋_GB2312" w:hAnsi="Times New Roman" w:eastAsia="仿宋_GB2312" w:cs="Times New Roman"/>
          <w:sz w:val="32"/>
          <w:szCs w:val="32"/>
        </w:rPr>
        <w:t>712.24</w:t>
      </w:r>
      <w:r>
        <w:rPr>
          <w:rFonts w:hint="eastAsia" w:ascii="仿宋_GB2312" w:hAnsi="Times New Roman" w:eastAsia="仿宋_GB2312" w:cs="Times New Roman"/>
          <w:sz w:val="32"/>
          <w:szCs w:val="32"/>
        </w:rPr>
        <w:t>亿元，比上年同期增长7.6%，比上年同期增速（10.3%）下降2.7个百分点。其中交通运输、仓储业、邮政业中的物流业业务收入</w:t>
      </w:r>
      <w:r>
        <w:rPr>
          <w:rFonts w:ascii="仿宋_GB2312" w:hAnsi="Times New Roman" w:eastAsia="仿宋_GB2312" w:cs="Times New Roman"/>
          <w:sz w:val="32"/>
          <w:szCs w:val="32"/>
        </w:rPr>
        <w:t>528.90</w:t>
      </w:r>
      <w:r>
        <w:rPr>
          <w:rFonts w:hint="eastAsia" w:ascii="仿宋_GB2312" w:hAnsi="Times New Roman" w:eastAsia="仿宋_GB2312" w:cs="Times New Roman"/>
          <w:sz w:val="32"/>
          <w:szCs w:val="32"/>
        </w:rPr>
        <w:t>亿元，增长6.5%，比上年同期增速（11.7%）下降5.2个百分点；批发和零售业中的物流业业务收入</w:t>
      </w:r>
      <w:r>
        <w:rPr>
          <w:rFonts w:ascii="仿宋_GB2312" w:hAnsi="Times New Roman" w:eastAsia="仿宋_GB2312" w:cs="Times New Roman"/>
          <w:sz w:val="32"/>
          <w:szCs w:val="32"/>
        </w:rPr>
        <w:t>183.34</w:t>
      </w:r>
      <w:r>
        <w:rPr>
          <w:rFonts w:hint="eastAsia" w:ascii="仿宋_GB2312" w:hAnsi="Times New Roman" w:eastAsia="仿宋_GB2312" w:cs="Times New Roman"/>
          <w:sz w:val="32"/>
          <w:szCs w:val="32"/>
        </w:rPr>
        <w:t>亿元，增长10.7%，比上年同期增速（6.1%）提高4.6个百分点。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表1 2024年上半年福州市物流业业务收入 单位：亿元、%</w:t>
      </w:r>
    </w:p>
    <w:tbl>
      <w:tblPr>
        <w:tblStyle w:val="5"/>
        <w:tblW w:w="80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1781"/>
        <w:gridCol w:w="1950"/>
        <w:gridCol w:w="12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10"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  标</w:t>
            </w:r>
          </w:p>
        </w:tc>
        <w:tc>
          <w:tcPr>
            <w:tcW w:w="1781"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2024年上半年</w:t>
            </w:r>
          </w:p>
        </w:tc>
        <w:tc>
          <w:tcPr>
            <w:tcW w:w="1950"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2023年上半年</w:t>
            </w:r>
          </w:p>
        </w:tc>
        <w:tc>
          <w:tcPr>
            <w:tcW w:w="1216"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同比增长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110"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物流业业务收入</w:t>
            </w:r>
          </w:p>
        </w:tc>
        <w:tc>
          <w:tcPr>
            <w:tcW w:w="1781"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712.24 </w:t>
            </w:r>
          </w:p>
        </w:tc>
        <w:tc>
          <w:tcPr>
            <w:tcW w:w="1950"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662.23 </w:t>
            </w:r>
          </w:p>
        </w:tc>
        <w:tc>
          <w:tcPr>
            <w:tcW w:w="1216"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7.6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10"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1．交通运输、仓储业、邮政业中的物流业</w:t>
            </w:r>
          </w:p>
        </w:tc>
        <w:tc>
          <w:tcPr>
            <w:tcW w:w="1781"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528.90 </w:t>
            </w:r>
          </w:p>
        </w:tc>
        <w:tc>
          <w:tcPr>
            <w:tcW w:w="1950"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496.56 </w:t>
            </w:r>
          </w:p>
        </w:tc>
        <w:tc>
          <w:tcPr>
            <w:tcW w:w="1216"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6.5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110" w:type="dxa"/>
            <w:shd w:val="clear" w:color="000000" w:fill="FFFFFF"/>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2．批发和零售业中的物流业</w:t>
            </w:r>
          </w:p>
        </w:tc>
        <w:tc>
          <w:tcPr>
            <w:tcW w:w="1781"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183.34 </w:t>
            </w:r>
          </w:p>
        </w:tc>
        <w:tc>
          <w:tcPr>
            <w:tcW w:w="1950" w:type="dxa"/>
            <w:shd w:val="clear" w:color="auto" w:fill="auto"/>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165.67 </w:t>
            </w:r>
          </w:p>
        </w:tc>
        <w:tc>
          <w:tcPr>
            <w:tcW w:w="1216" w:type="dxa"/>
            <w:shd w:val="clear" w:color="000000" w:fill="FFFFFF"/>
            <w:vAlign w:val="center"/>
          </w:tcPr>
          <w:p>
            <w:pPr>
              <w:widowControl/>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10.7 </w:t>
            </w:r>
          </w:p>
        </w:tc>
      </w:tr>
    </w:tbl>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Cs/>
          <w:sz w:val="32"/>
          <w:szCs w:val="32"/>
        </w:rPr>
      </w:pP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二、福州市物流业增加值占GDP比重有所提高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上半年，全市物流业实现增加值</w:t>
      </w:r>
      <w:r>
        <w:rPr>
          <w:rFonts w:ascii="仿宋_GB2312" w:hAnsi="Times New Roman" w:eastAsia="仿宋_GB2312" w:cs="Times New Roman"/>
          <w:sz w:val="32"/>
          <w:szCs w:val="32"/>
        </w:rPr>
        <w:t>372.15</w:t>
      </w:r>
      <w:r>
        <w:rPr>
          <w:rFonts w:hint="eastAsia" w:ascii="仿宋_GB2312" w:hAnsi="Times New Roman" w:eastAsia="仿宋_GB2312" w:cs="Times New Roman"/>
          <w:sz w:val="32"/>
          <w:szCs w:val="32"/>
        </w:rPr>
        <w:t>亿元，按可比价格计算，比上年同期增长6.4%，比上年同期增速（8.3%）下降1.9个百分点。其中交通运输、仓储业、邮政业中的物流业增加值</w:t>
      </w:r>
      <w:r>
        <w:rPr>
          <w:rFonts w:ascii="仿宋_GB2312" w:hAnsi="Times New Roman" w:eastAsia="仿宋_GB2312" w:cs="Times New Roman"/>
          <w:sz w:val="32"/>
          <w:szCs w:val="32"/>
        </w:rPr>
        <w:t>246.92</w:t>
      </w:r>
      <w:r>
        <w:rPr>
          <w:rFonts w:hint="eastAsia" w:ascii="仿宋_GB2312" w:hAnsi="Times New Roman" w:eastAsia="仿宋_GB2312" w:cs="Times New Roman"/>
          <w:sz w:val="32"/>
          <w:szCs w:val="32"/>
        </w:rPr>
        <w:t>亿元，增长6.4%，比上年同期增速（10.4%）下降4.0个百分点；批发和零售业中的物流业增加值</w:t>
      </w:r>
      <w:r>
        <w:rPr>
          <w:rFonts w:ascii="仿宋_GB2312" w:hAnsi="Times New Roman" w:eastAsia="仿宋_GB2312" w:cs="Times New Roman"/>
          <w:sz w:val="32"/>
          <w:szCs w:val="32"/>
        </w:rPr>
        <w:t>125.23</w:t>
      </w:r>
      <w:r>
        <w:rPr>
          <w:rFonts w:hint="eastAsia" w:ascii="仿宋_GB2312" w:hAnsi="Times New Roman" w:eastAsia="仿宋_GB2312" w:cs="Times New Roman"/>
          <w:sz w:val="32"/>
          <w:szCs w:val="32"/>
        </w:rPr>
        <w:t>亿元，增长6.5%，比上年同期增速（4.5%）提高2.0个百分点。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物流业增加值占GDP的比重为6.1%，比上年同期提高0.3个百分点；占</w:t>
      </w:r>
      <w:r>
        <w:rPr>
          <w:rFonts w:hint="eastAsia" w:ascii="仿宋_GB2312" w:hAnsi="Times New Roman" w:eastAsia="仿宋_GB2312" w:cs="Times New Roman"/>
          <w:sz w:val="32"/>
          <w:szCs w:val="32"/>
          <w:lang w:eastAsia="zh-CN"/>
        </w:rPr>
        <w:t>第三产业</w:t>
      </w:r>
      <w:r>
        <w:rPr>
          <w:rFonts w:hint="eastAsia" w:ascii="仿宋_GB2312" w:hAnsi="Times New Roman" w:eastAsia="仿宋_GB2312" w:cs="Times New Roman"/>
          <w:sz w:val="32"/>
          <w:szCs w:val="32"/>
        </w:rPr>
        <w:t>增加值的比重为10.4%，比上年同期提高0.2个百分点。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b/>
          <w:bCs/>
          <w:color w:val="auto"/>
          <w:sz w:val="32"/>
          <w:szCs w:val="32"/>
          <w:lang w:val="en-GB"/>
        </w:rPr>
      </w:pPr>
      <w:r>
        <w:rPr>
          <w:rFonts w:hint="eastAsia" w:ascii="仿宋_GB2312" w:hAnsi="Times New Roman" w:eastAsia="仿宋_GB2312" w:cs="Times New Roman"/>
          <w:b/>
          <w:bCs/>
          <w:color w:val="auto"/>
          <w:sz w:val="32"/>
          <w:szCs w:val="32"/>
          <w:lang w:val="en-GB"/>
        </w:rPr>
        <w:t>表2  2024年上半年福州市物流业增加值  单位：亿元、%</w:t>
      </w:r>
    </w:p>
    <w:tbl>
      <w:tblPr>
        <w:tblStyle w:val="5"/>
        <w:tblW w:w="8047"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2595"/>
        <w:gridCol w:w="1788"/>
        <w:gridCol w:w="1797"/>
        <w:gridCol w:w="1867"/>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830" w:hRule="atLeast"/>
          <w:tblHeader/>
          <w:jc w:val="center"/>
        </w:trPr>
        <w:tc>
          <w:tcPr>
            <w:tcW w:w="2595"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   标</w:t>
            </w:r>
          </w:p>
        </w:tc>
        <w:tc>
          <w:tcPr>
            <w:tcW w:w="1788" w:type="dxa"/>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2024年上半年</w:t>
            </w:r>
          </w:p>
        </w:tc>
        <w:tc>
          <w:tcPr>
            <w:tcW w:w="1797" w:type="dxa"/>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2023年上半年</w:t>
            </w:r>
          </w:p>
        </w:tc>
        <w:tc>
          <w:tcPr>
            <w:tcW w:w="1867" w:type="dxa"/>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同比增长（按可比价格计算）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2595"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物流增加值</w:t>
            </w:r>
          </w:p>
        </w:tc>
        <w:tc>
          <w:tcPr>
            <w:tcW w:w="1788"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372.15 </w:t>
            </w:r>
          </w:p>
        </w:tc>
        <w:tc>
          <w:tcPr>
            <w:tcW w:w="1797"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334.76 </w:t>
            </w:r>
          </w:p>
        </w:tc>
        <w:tc>
          <w:tcPr>
            <w:tcW w:w="1867" w:type="dxa"/>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6.4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2595" w:type="dxa"/>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1.交通运输、仓储业、邮政业中的物流业</w:t>
            </w:r>
          </w:p>
        </w:tc>
        <w:tc>
          <w:tcPr>
            <w:tcW w:w="1788"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246.92 </w:t>
            </w:r>
          </w:p>
        </w:tc>
        <w:tc>
          <w:tcPr>
            <w:tcW w:w="1797"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221.59 </w:t>
            </w:r>
          </w:p>
        </w:tc>
        <w:tc>
          <w:tcPr>
            <w:tcW w:w="1867" w:type="dxa"/>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6.4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2595" w:type="dxa"/>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2.批发和零售业中</w:t>
            </w:r>
          </w:p>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的物流业</w:t>
            </w:r>
          </w:p>
        </w:tc>
        <w:tc>
          <w:tcPr>
            <w:tcW w:w="1788"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125.23 </w:t>
            </w:r>
          </w:p>
        </w:tc>
        <w:tc>
          <w:tcPr>
            <w:tcW w:w="1797" w:type="dxa"/>
            <w:shd w:val="clear" w:color="auto" w:fill="auto"/>
            <w:noWrap/>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113.17 </w:t>
            </w:r>
          </w:p>
        </w:tc>
        <w:tc>
          <w:tcPr>
            <w:tcW w:w="1867" w:type="dxa"/>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6.5 </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表3   2024年上半年福州市物流业增加值</w:t>
      </w:r>
    </w:p>
    <w:p>
      <w:pPr>
        <w:keepNext w:val="0"/>
        <w:keepLines w:val="0"/>
        <w:pageBreakBefore w:val="0"/>
        <w:widowControl w:val="0"/>
        <w:pBdr>
          <w:bottom w:val="single" w:color="auto" w:sz="4" w:space="1"/>
        </w:pBdr>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b/>
          <w:bCs/>
          <w:sz w:val="32"/>
          <w:szCs w:val="32"/>
          <w:lang w:val="en-GB"/>
        </w:rPr>
      </w:pPr>
      <w:r>
        <w:rPr>
          <w:rFonts w:hint="eastAsia" w:ascii="仿宋_GB2312" w:hAnsi="Times New Roman" w:eastAsia="仿宋_GB2312" w:cs="Times New Roman"/>
          <w:b/>
          <w:bCs/>
          <w:sz w:val="32"/>
          <w:szCs w:val="32"/>
        </w:rPr>
        <w:t xml:space="preserve">占第三产业及地区生产总值比重  </w:t>
      </w:r>
      <w:r>
        <w:rPr>
          <w:rFonts w:hint="eastAsia" w:ascii="仿宋_GB2312" w:hAnsi="Times New Roman" w:eastAsia="仿宋_GB2312" w:cs="Times New Roman"/>
          <w:b/>
          <w:bCs/>
          <w:sz w:val="32"/>
          <w:szCs w:val="32"/>
          <w:lang w:val="en-GB"/>
        </w:rPr>
        <w:t>单位：亿元、%</w:t>
      </w:r>
    </w:p>
    <w:tbl>
      <w:tblPr>
        <w:tblStyle w:val="5"/>
        <w:tblW w:w="80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796"/>
        <w:gridCol w:w="1782"/>
        <w:gridCol w:w="18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5" w:type="dxa"/>
            <w:vMerge w:val="restart"/>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年  份</w:t>
            </w:r>
          </w:p>
        </w:tc>
        <w:tc>
          <w:tcPr>
            <w:tcW w:w="1796" w:type="dxa"/>
            <w:vMerge w:val="restart"/>
            <w:shd w:val="clear" w:color="auto" w:fill="auto"/>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物流业增加值</w:t>
            </w:r>
          </w:p>
        </w:tc>
        <w:tc>
          <w:tcPr>
            <w:tcW w:w="1782" w:type="dxa"/>
            <w:vMerge w:val="restart"/>
            <w:shd w:val="clear" w:color="auto" w:fill="auto"/>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占第三产业增加值比重</w:t>
            </w:r>
          </w:p>
        </w:tc>
        <w:tc>
          <w:tcPr>
            <w:tcW w:w="1805" w:type="dxa"/>
            <w:vMerge w:val="restart"/>
            <w:shd w:val="clear" w:color="auto" w:fill="auto"/>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占地区生产总值比重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5" w:type="dxa"/>
            <w:vMerge w:val="continue"/>
            <w:vAlign w:val="center"/>
          </w:tcPr>
          <w:p>
            <w:pPr>
              <w:widowControl/>
              <w:jc w:val="center"/>
              <w:rPr>
                <w:rFonts w:hint="eastAsia" w:ascii="仿宋_GB2312" w:hAnsi="仿宋_GB2312" w:eastAsia="仿宋_GB2312" w:cs="仿宋_GB2312"/>
                <w:color w:val="auto"/>
                <w:kern w:val="2"/>
                <w:sz w:val="24"/>
                <w:szCs w:val="24"/>
                <w:lang w:val="en-US" w:eastAsia="zh-CN"/>
              </w:rPr>
            </w:pPr>
          </w:p>
        </w:tc>
        <w:tc>
          <w:tcPr>
            <w:tcW w:w="1796" w:type="dxa"/>
            <w:vMerge w:val="continue"/>
            <w:vAlign w:val="center"/>
          </w:tcPr>
          <w:p>
            <w:pPr>
              <w:widowControl/>
              <w:jc w:val="center"/>
              <w:rPr>
                <w:rFonts w:hint="eastAsia" w:ascii="仿宋_GB2312" w:hAnsi="仿宋_GB2312" w:eastAsia="仿宋_GB2312" w:cs="仿宋_GB2312"/>
                <w:color w:val="auto"/>
                <w:kern w:val="2"/>
                <w:sz w:val="24"/>
                <w:szCs w:val="24"/>
                <w:lang w:val="en-US" w:eastAsia="zh-CN"/>
              </w:rPr>
            </w:pPr>
          </w:p>
        </w:tc>
        <w:tc>
          <w:tcPr>
            <w:tcW w:w="1782" w:type="dxa"/>
            <w:vMerge w:val="continue"/>
            <w:vAlign w:val="center"/>
          </w:tcPr>
          <w:p>
            <w:pPr>
              <w:widowControl/>
              <w:jc w:val="center"/>
              <w:rPr>
                <w:rFonts w:hint="eastAsia" w:ascii="仿宋_GB2312" w:hAnsi="仿宋_GB2312" w:eastAsia="仿宋_GB2312" w:cs="仿宋_GB2312"/>
                <w:color w:val="auto"/>
                <w:kern w:val="2"/>
                <w:sz w:val="24"/>
                <w:szCs w:val="24"/>
                <w:lang w:val="en-US" w:eastAsia="zh-CN"/>
              </w:rPr>
            </w:pPr>
          </w:p>
        </w:tc>
        <w:tc>
          <w:tcPr>
            <w:tcW w:w="1805" w:type="dxa"/>
            <w:vMerge w:val="continue"/>
            <w:vAlign w:val="center"/>
          </w:tcPr>
          <w:p>
            <w:pPr>
              <w:widowControl/>
              <w:jc w:val="center"/>
              <w:rPr>
                <w:rFonts w:hint="eastAsia" w:ascii="仿宋_GB2312" w:hAnsi="仿宋_GB2312" w:eastAsia="仿宋_GB2312" w:cs="仿宋_GB2312"/>
                <w:color w:val="auto"/>
                <w:kern w:val="2"/>
                <w:sz w:val="24"/>
                <w:szCs w:val="24"/>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55" w:type="dxa"/>
            <w:shd w:val="clear" w:color="auto" w:fill="auto"/>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2022年上半年</w:t>
            </w:r>
          </w:p>
        </w:tc>
        <w:tc>
          <w:tcPr>
            <w:tcW w:w="1796"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305.04 </w:t>
            </w:r>
          </w:p>
        </w:tc>
        <w:tc>
          <w:tcPr>
            <w:tcW w:w="1782"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10.0 </w:t>
            </w:r>
          </w:p>
        </w:tc>
        <w:tc>
          <w:tcPr>
            <w:tcW w:w="1805"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5.6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55" w:type="dxa"/>
            <w:shd w:val="clear" w:color="auto" w:fill="auto"/>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2023年上半年</w:t>
            </w:r>
          </w:p>
        </w:tc>
        <w:tc>
          <w:tcPr>
            <w:tcW w:w="1796"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334.76 </w:t>
            </w:r>
          </w:p>
        </w:tc>
        <w:tc>
          <w:tcPr>
            <w:tcW w:w="1782"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10.2 </w:t>
            </w:r>
          </w:p>
        </w:tc>
        <w:tc>
          <w:tcPr>
            <w:tcW w:w="1805"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55" w:type="dxa"/>
            <w:shd w:val="clear" w:color="auto" w:fill="auto"/>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2024年上半年</w:t>
            </w:r>
          </w:p>
        </w:tc>
        <w:tc>
          <w:tcPr>
            <w:tcW w:w="1796"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372.15 </w:t>
            </w:r>
          </w:p>
        </w:tc>
        <w:tc>
          <w:tcPr>
            <w:tcW w:w="1782"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10.4 </w:t>
            </w:r>
          </w:p>
        </w:tc>
        <w:tc>
          <w:tcPr>
            <w:tcW w:w="1805" w:type="dxa"/>
            <w:shd w:val="clear" w:color="auto" w:fill="auto"/>
            <w:noWrap/>
            <w:vAlign w:val="center"/>
          </w:tcPr>
          <w:p>
            <w:pPr>
              <w:widowControl/>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6.1 </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三、福州市</w:t>
      </w:r>
      <w:r>
        <w:rPr>
          <w:rFonts w:hint="eastAsia" w:ascii="黑体" w:hAnsi="黑体" w:eastAsia="黑体" w:cs="黑体"/>
          <w:bCs/>
          <w:sz w:val="32"/>
          <w:szCs w:val="32"/>
          <w:lang w:val="en-US" w:eastAsia="zh-CN"/>
        </w:rPr>
        <w:t>物流业</w:t>
      </w:r>
      <w:r>
        <w:rPr>
          <w:rFonts w:hint="eastAsia" w:ascii="黑体" w:hAnsi="黑体" w:eastAsia="黑体" w:cs="黑体"/>
          <w:bCs/>
          <w:sz w:val="32"/>
          <w:szCs w:val="32"/>
        </w:rPr>
        <w:t>投资波动</w:t>
      </w:r>
      <w:r>
        <w:rPr>
          <w:rFonts w:hint="eastAsia" w:ascii="黑体" w:hAnsi="黑体" w:eastAsia="黑体" w:cs="黑体"/>
          <w:bCs/>
          <w:sz w:val="32"/>
          <w:szCs w:val="32"/>
          <w:lang w:val="en-US" w:eastAsia="zh-CN"/>
        </w:rPr>
        <w:t>较</w:t>
      </w:r>
      <w:r>
        <w:rPr>
          <w:rFonts w:hint="eastAsia" w:ascii="黑体" w:hAnsi="黑体" w:eastAsia="黑体" w:cs="黑体"/>
          <w:bCs/>
          <w:sz w:val="32"/>
          <w:szCs w:val="32"/>
        </w:rPr>
        <w:t>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上半年，全市物流业固定资产投资完成额比上年同期下降12.8%，比上年同期增速（192.6%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2023年上半年主要集中在二季度是疫情防控平稳转段后投资需求集中释放阶段</w:t>
      </w:r>
      <w:r>
        <w:rPr>
          <w:rFonts w:hint="eastAsia" w:ascii="仿宋_GB2312" w:hAnsi="Times New Roman" w:eastAsia="仿宋_GB2312" w:cs="Times New Roman"/>
          <w:sz w:val="32"/>
          <w:szCs w:val="32"/>
        </w:rPr>
        <w:t>）大幅下降205.4个百分点。其中交通运输、仓储业、邮政业中的物流业投资下降14.0%，比上年同期增速（218.7%）下降232.7个百分点；批发和零售业中的物流业投资增长83.3%，比上年同期增速（-55.3%）提138.6个百分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总的看，上半年物流业运行总体保持平稳向好态势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但也要看到企业经营压力较大等制约物流业持续回升向好的因素依然存在。下阶段，</w:t>
      </w:r>
      <w:r>
        <w:rPr>
          <w:rFonts w:hint="eastAsia" w:ascii="仿宋_GB2312" w:hAnsi="Times New Roman" w:eastAsia="仿宋_GB2312" w:cs="Times New Roman"/>
          <w:sz w:val="32"/>
          <w:szCs w:val="32"/>
          <w:lang w:eastAsia="zh-CN"/>
        </w:rPr>
        <w:t>要持续</w:t>
      </w:r>
      <w:r>
        <w:rPr>
          <w:rFonts w:hint="eastAsia" w:ascii="仿宋_GB2312" w:hAnsi="Times New Roman" w:eastAsia="仿宋_GB2312" w:cs="Times New Roman"/>
          <w:sz w:val="32"/>
          <w:szCs w:val="32"/>
        </w:rPr>
        <w:t>激发市场活力和内生动力，不断巩固和增强物流回升向好态势，促进物流业健康发展。</w:t>
      </w:r>
    </w:p>
    <w:p>
      <w:pPr>
        <w:widowControl/>
        <w:ind w:firstLine="640" w:firstLineChars="200"/>
        <w:rPr>
          <w:rFonts w:ascii="仿宋_GB2312"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kZDcyMzMxOWE2OWJkYTkzNzQ3ODAzNWZkMTk1ZGYifQ=="/>
  </w:docVars>
  <w:rsids>
    <w:rsidRoot w:val="00497D3D"/>
    <w:rsid w:val="00002F06"/>
    <w:rsid w:val="00003D0D"/>
    <w:rsid w:val="0004280D"/>
    <w:rsid w:val="00045B0A"/>
    <w:rsid w:val="00045CFC"/>
    <w:rsid w:val="00073FD0"/>
    <w:rsid w:val="000B37E1"/>
    <w:rsid w:val="0013009C"/>
    <w:rsid w:val="00141085"/>
    <w:rsid w:val="00186F1D"/>
    <w:rsid w:val="001E5D3E"/>
    <w:rsid w:val="001F6822"/>
    <w:rsid w:val="00204309"/>
    <w:rsid w:val="00237BFD"/>
    <w:rsid w:val="002E677B"/>
    <w:rsid w:val="00310840"/>
    <w:rsid w:val="003453F1"/>
    <w:rsid w:val="003A277E"/>
    <w:rsid w:val="00497D3D"/>
    <w:rsid w:val="004A013A"/>
    <w:rsid w:val="004A17DE"/>
    <w:rsid w:val="004E24E5"/>
    <w:rsid w:val="005225FF"/>
    <w:rsid w:val="00525C12"/>
    <w:rsid w:val="0056402A"/>
    <w:rsid w:val="005C5250"/>
    <w:rsid w:val="005D7D97"/>
    <w:rsid w:val="00626E0E"/>
    <w:rsid w:val="00631265"/>
    <w:rsid w:val="00673F4A"/>
    <w:rsid w:val="006A4E85"/>
    <w:rsid w:val="006C50B2"/>
    <w:rsid w:val="00774886"/>
    <w:rsid w:val="007903DC"/>
    <w:rsid w:val="007C134D"/>
    <w:rsid w:val="007D1E3D"/>
    <w:rsid w:val="00801E7D"/>
    <w:rsid w:val="00811D37"/>
    <w:rsid w:val="00844453"/>
    <w:rsid w:val="008453BA"/>
    <w:rsid w:val="00852073"/>
    <w:rsid w:val="00876100"/>
    <w:rsid w:val="00887A13"/>
    <w:rsid w:val="008A3375"/>
    <w:rsid w:val="008A7917"/>
    <w:rsid w:val="008E0A03"/>
    <w:rsid w:val="008F0E8C"/>
    <w:rsid w:val="008F43A5"/>
    <w:rsid w:val="00921A4D"/>
    <w:rsid w:val="00925011"/>
    <w:rsid w:val="00933561"/>
    <w:rsid w:val="00954943"/>
    <w:rsid w:val="009B13EF"/>
    <w:rsid w:val="009B14BF"/>
    <w:rsid w:val="00A5210A"/>
    <w:rsid w:val="00AF71F6"/>
    <w:rsid w:val="00B224F6"/>
    <w:rsid w:val="00B570FE"/>
    <w:rsid w:val="00B83AF3"/>
    <w:rsid w:val="00C26913"/>
    <w:rsid w:val="00C32E56"/>
    <w:rsid w:val="00C42D19"/>
    <w:rsid w:val="00CC0B47"/>
    <w:rsid w:val="00CD1495"/>
    <w:rsid w:val="00D43B98"/>
    <w:rsid w:val="00D45FBB"/>
    <w:rsid w:val="00DA7B6E"/>
    <w:rsid w:val="00DF2C2E"/>
    <w:rsid w:val="00E0349E"/>
    <w:rsid w:val="00E2011D"/>
    <w:rsid w:val="00E22022"/>
    <w:rsid w:val="00E85DF6"/>
    <w:rsid w:val="00EC46C6"/>
    <w:rsid w:val="00ED6F9A"/>
    <w:rsid w:val="00EF4A97"/>
    <w:rsid w:val="00F00FFA"/>
    <w:rsid w:val="00F17BA2"/>
    <w:rsid w:val="00F203D9"/>
    <w:rsid w:val="00F25785"/>
    <w:rsid w:val="00F27774"/>
    <w:rsid w:val="00FD7F1A"/>
    <w:rsid w:val="01E23011"/>
    <w:rsid w:val="09CB24F9"/>
    <w:rsid w:val="0FC1695C"/>
    <w:rsid w:val="11C95F9C"/>
    <w:rsid w:val="1E025791"/>
    <w:rsid w:val="269E759F"/>
    <w:rsid w:val="27B1527F"/>
    <w:rsid w:val="2B1F38A1"/>
    <w:rsid w:val="2D4A5258"/>
    <w:rsid w:val="31336588"/>
    <w:rsid w:val="348F0C0C"/>
    <w:rsid w:val="3C435A80"/>
    <w:rsid w:val="3FEA30CF"/>
    <w:rsid w:val="3FED7AB3"/>
    <w:rsid w:val="41250249"/>
    <w:rsid w:val="431A7B56"/>
    <w:rsid w:val="498E392B"/>
    <w:rsid w:val="5BF3150D"/>
    <w:rsid w:val="5D867E6A"/>
    <w:rsid w:val="5DDECB23"/>
    <w:rsid w:val="5FFEA08E"/>
    <w:rsid w:val="66EF7DB3"/>
    <w:rsid w:val="67CB216B"/>
    <w:rsid w:val="70E66791"/>
    <w:rsid w:val="763E230A"/>
    <w:rsid w:val="AECB12A4"/>
    <w:rsid w:val="AF9AEC92"/>
    <w:rsid w:val="DFEBE5D0"/>
    <w:rsid w:val="E53F1250"/>
    <w:rsid w:val="F7772BAA"/>
    <w:rsid w:val="F7FD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页眉 Char"/>
    <w:basedOn w:val="6"/>
    <w:link w:val="4"/>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1062</Words>
  <Characters>1336</Characters>
  <Lines>12</Lines>
  <Paragraphs>3</Paragraphs>
  <TotalTime>300</TotalTime>
  <ScaleCrop>false</ScaleCrop>
  <LinksUpToDate>false</LinksUpToDate>
  <CharactersWithSpaces>1382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2023-07-21T09:20:00Z</dcterms:created>
  <dc:creator>Leslin Liu</dc:creator>
  <cp:lastModifiedBy>YJ</cp:lastModifiedBy>
  <cp:lastPrinted>2024-08-06T02:37:00Z</cp:lastPrinted>
  <dcterms:modified xsi:type="dcterms:W3CDTF">2024-08-09T02:37:50Z</dcterms:modified>
  <dc:title>2024年上半年福州市物流业运行情况</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C2267435726643D3AD3174283351A0CD_12</vt:lpwstr>
  </property>
</Properties>
</file>