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2AC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highlight w:val="red"/>
          <w:lang w:val="en-US" w:eastAsia="zh-CN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份福州市物流业景气指数（LPI）情况</w:t>
      </w:r>
      <w:bookmarkEnd w:id="0"/>
    </w:p>
    <w:p w14:paraId="2DDC104A">
      <w:pPr>
        <w:widowControl/>
        <w:spacing w:line="560" w:lineRule="exact"/>
        <w:ind w:firstLine="640" w:firstLineChars="200"/>
        <w:rPr>
          <w:rFonts w:hint="eastAsia" w:ascii="仿宋_GB2312" w:hAnsi="仿宋" w:eastAsia="仿宋_GB2312"/>
          <w:b w:val="0"/>
          <w:sz w:val="32"/>
          <w:lang w:val="en-US" w:eastAsia="zh-CN"/>
        </w:rPr>
      </w:pPr>
    </w:p>
    <w:p w14:paraId="65BEA695">
      <w:pPr>
        <w:widowControl/>
        <w:spacing w:line="560" w:lineRule="exact"/>
        <w:ind w:firstLine="640" w:firstLineChars="200"/>
        <w:rPr>
          <w:rFonts w:hint="eastAsia" w:ascii="仿宋_GB2312" w:hAnsi="仿宋" w:eastAsia="仿宋_GB2312"/>
          <w:b w:val="0"/>
          <w:sz w:val="32"/>
          <w:lang w:val="en-US" w:eastAsia="zh-CN"/>
        </w:rPr>
      </w:pPr>
      <w:r>
        <w:rPr>
          <w:rFonts w:hint="eastAsia" w:ascii="仿宋_GB2312" w:hAnsi="仿宋" w:eastAsia="仿宋_GB2312"/>
          <w:b w:val="0"/>
          <w:sz w:val="32"/>
          <w:lang w:val="en-US" w:eastAsia="zh-CN"/>
        </w:rPr>
        <w:t>6月，福州市物流业景气指数为53.1%，较上月回升0.3个百分点，连续四个月保持在50%以上扩张区间，呈现稳中有升运行态势。本月指数较去年同期回升2.1个百分点，显示物流行业运行持续向好。12个单项指数呈现“八升一平三降”。其中：固定资产投资完成额、库存周转次数、业务活动预期、设备利用率、从业人员、新订单、业务总量、主营业务利润等八项指数较上月回升，回升幅度在0.1个百分点至2.1个百分点之间；主营业务成本指数与上月持平；平均库存量、物流服务价格、资金周转率三项指数较上月回落，回落幅度在0.1个百分点至0.3个百分点之间。</w:t>
      </w:r>
    </w:p>
    <w:p w14:paraId="01AB5616">
      <w:pPr>
        <w:widowControl/>
        <w:spacing w:line="560" w:lineRule="exact"/>
        <w:ind w:firstLine="420" w:firstLineChars="200"/>
        <w:rPr>
          <w:rFonts w:hint="eastAsia" w:ascii="仿宋_GB2312" w:hAnsi="仿宋" w:eastAsia="仿宋_GB2312"/>
          <w:b w:val="0"/>
          <w:sz w:val="32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177800</wp:posOffset>
            </wp:positionH>
            <wp:positionV relativeFrom="paragraph">
              <wp:posOffset>325120</wp:posOffset>
            </wp:positionV>
            <wp:extent cx="5615305" cy="2413635"/>
            <wp:effectExtent l="0" t="0" r="8255" b="9525"/>
            <wp:wrapNone/>
            <wp:docPr id="7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14:paraId="2579C74E">
      <w:pPr>
        <w:widowControl/>
        <w:spacing w:line="560" w:lineRule="exact"/>
        <w:ind w:firstLine="640" w:firstLineChars="200"/>
        <w:rPr>
          <w:rFonts w:hint="eastAsia" w:ascii="仿宋_GB2312" w:hAnsi="仿宋" w:eastAsia="仿宋_GB2312"/>
          <w:b w:val="0"/>
          <w:bCs w:val="0"/>
          <w:kern w:val="2"/>
          <w:sz w:val="32"/>
          <w:szCs w:val="32"/>
          <w:lang w:val="en-US" w:eastAsia="zh-CN"/>
        </w:rPr>
      </w:pPr>
    </w:p>
    <w:p w14:paraId="2EE1D566">
      <w:pPr>
        <w:widowControl/>
        <w:spacing w:line="560" w:lineRule="exact"/>
        <w:ind w:firstLine="640" w:firstLineChars="200"/>
        <w:rPr>
          <w:rFonts w:hint="eastAsia" w:ascii="仿宋_GB2312" w:hAnsi="仿宋" w:eastAsia="仿宋_GB2312"/>
          <w:b w:val="0"/>
          <w:bCs w:val="0"/>
          <w:kern w:val="2"/>
          <w:sz w:val="32"/>
          <w:szCs w:val="32"/>
          <w:lang w:val="en-US" w:eastAsia="zh-CN"/>
        </w:rPr>
      </w:pPr>
    </w:p>
    <w:p w14:paraId="1B28DB1E">
      <w:pPr>
        <w:widowControl/>
        <w:spacing w:line="560" w:lineRule="exact"/>
        <w:ind w:firstLine="420" w:firstLineChars="200"/>
      </w:pPr>
    </w:p>
    <w:p w14:paraId="73170FD9">
      <w:pPr>
        <w:widowControl/>
        <w:spacing w:line="560" w:lineRule="exact"/>
        <w:ind w:firstLine="420" w:firstLineChars="200"/>
      </w:pPr>
    </w:p>
    <w:p w14:paraId="15BB1E32">
      <w:pPr>
        <w:widowControl/>
        <w:spacing w:line="560" w:lineRule="exact"/>
        <w:ind w:firstLine="420" w:firstLineChars="200"/>
      </w:pPr>
    </w:p>
    <w:p w14:paraId="2CED634E">
      <w:pPr>
        <w:widowControl/>
        <w:spacing w:line="560" w:lineRule="exact"/>
        <w:jc w:val="center"/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</w:pPr>
    </w:p>
    <w:p w14:paraId="54D8DDCA">
      <w:pPr>
        <w:widowControl/>
        <w:spacing w:line="560" w:lineRule="exact"/>
        <w:jc w:val="center"/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</w:pPr>
    </w:p>
    <w:p w14:paraId="0E3C8261">
      <w:pPr>
        <w:widowControl/>
        <w:spacing w:line="560" w:lineRule="exact"/>
        <w:jc w:val="center"/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</w:pPr>
    </w:p>
    <w:p w14:paraId="30596B2C">
      <w:pPr>
        <w:widowControl/>
        <w:spacing w:line="560" w:lineRule="exact"/>
        <w:jc w:val="center"/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</w:pP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  <w:t xml:space="preserve">图1  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  <w:t>202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  <w:lang w:val="en-US" w:eastAsia="zh-CN"/>
        </w:rPr>
        <w:t>5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  <w:t>年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  <w:lang w:val="en-US" w:eastAsia="zh-CN"/>
        </w:rPr>
        <w:t>6月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  <w:t>-202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  <w:lang w:val="en-US" w:eastAsia="zh-CN"/>
        </w:rPr>
        <w:t>6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  <w:t>年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  <w:lang w:val="en-US" w:eastAsia="zh-CN"/>
        </w:rPr>
        <w:t>6月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  <w:t>福州市物流业景气指数（LPI）</w:t>
      </w:r>
    </w:p>
    <w:p w14:paraId="19B0CE6B">
      <w:pPr>
        <w:widowControl/>
        <w:spacing w:line="560" w:lineRule="exact"/>
        <w:jc w:val="center"/>
        <w:rPr>
          <w:rFonts w:hint="eastAsia" w:ascii="仿宋_GB2312" w:hAnsi="Times New Roman" w:eastAsia="仿宋_GB2312"/>
          <w:b/>
          <w:bCs/>
          <w:sz w:val="32"/>
          <w:szCs w:val="32"/>
        </w:rPr>
      </w:pP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  <w:t>表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  <w:lang w:val="en-US" w:eastAsia="zh-CN"/>
        </w:rPr>
        <w:t xml:space="preserve">1 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  <w:t>202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  <w:lang w:val="en-US" w:eastAsia="zh-CN"/>
        </w:rPr>
        <w:t>6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  <w:t>年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  <w:lang w:val="en-US" w:eastAsia="zh-CN"/>
        </w:rPr>
        <w:t>6月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  <w:t>福州市物流业景气指数（LPI）环比、同比变化情况</w:t>
      </w:r>
    </w:p>
    <w:tbl>
      <w:tblPr>
        <w:tblStyle w:val="7"/>
        <w:tblW w:w="9004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1240"/>
        <w:gridCol w:w="1275"/>
        <w:gridCol w:w="1320"/>
        <w:gridCol w:w="1320"/>
        <w:gridCol w:w="1331"/>
      </w:tblGrid>
      <w:tr w14:paraId="6ECF283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  <w:tblHeader/>
          <w:jc w:val="center"/>
        </w:trPr>
        <w:tc>
          <w:tcPr>
            <w:tcW w:w="2518" w:type="dxa"/>
            <w:noWrap/>
            <w:vAlign w:val="center"/>
          </w:tcPr>
          <w:p w14:paraId="2A00AA00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noWrap/>
            <w:vAlign w:val="center"/>
          </w:tcPr>
          <w:p w14:paraId="55311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2026年6月（%）</w:t>
            </w:r>
          </w:p>
        </w:tc>
        <w:tc>
          <w:tcPr>
            <w:tcW w:w="1275" w:type="dxa"/>
            <w:noWrap/>
            <w:vAlign w:val="center"/>
          </w:tcPr>
          <w:p w14:paraId="62736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2026年5月（%）</w:t>
            </w:r>
          </w:p>
        </w:tc>
        <w:tc>
          <w:tcPr>
            <w:tcW w:w="1320" w:type="dxa"/>
            <w:vAlign w:val="center"/>
          </w:tcPr>
          <w:p w14:paraId="4C7A8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环比增减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+、-</w:t>
            </w:r>
          </w:p>
        </w:tc>
        <w:tc>
          <w:tcPr>
            <w:tcW w:w="1320" w:type="dxa"/>
            <w:vAlign w:val="center"/>
          </w:tcPr>
          <w:p w14:paraId="00A51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2025年6月（%）</w:t>
            </w:r>
          </w:p>
        </w:tc>
        <w:tc>
          <w:tcPr>
            <w:tcW w:w="1331" w:type="dxa"/>
            <w:noWrap/>
            <w:vAlign w:val="center"/>
          </w:tcPr>
          <w:p w14:paraId="333D6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同比增减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+、-</w:t>
            </w:r>
          </w:p>
        </w:tc>
      </w:tr>
      <w:tr w14:paraId="141FD2F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8" w:type="dxa"/>
            <w:noWrap/>
            <w:vAlign w:val="bottom"/>
          </w:tcPr>
          <w:p w14:paraId="684F6E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物流业景气指数（LPI）</w:t>
            </w:r>
          </w:p>
        </w:tc>
        <w:tc>
          <w:tcPr>
            <w:tcW w:w="1240" w:type="dxa"/>
            <w:noWrap/>
            <w:vAlign w:val="bottom"/>
          </w:tcPr>
          <w:p w14:paraId="4997DD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53.1</w:t>
            </w:r>
          </w:p>
        </w:tc>
        <w:tc>
          <w:tcPr>
            <w:tcW w:w="1275" w:type="dxa"/>
            <w:noWrap/>
            <w:vAlign w:val="bottom"/>
          </w:tcPr>
          <w:p w14:paraId="297744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52.8</w:t>
            </w:r>
          </w:p>
        </w:tc>
        <w:tc>
          <w:tcPr>
            <w:tcW w:w="1320" w:type="dxa"/>
            <w:vAlign w:val="bottom"/>
          </w:tcPr>
          <w:p w14:paraId="6561C8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</w:t>
            </w:r>
          </w:p>
        </w:tc>
        <w:tc>
          <w:tcPr>
            <w:tcW w:w="1320" w:type="dxa"/>
            <w:vAlign w:val="bottom"/>
          </w:tcPr>
          <w:p w14:paraId="163E09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51.0</w:t>
            </w:r>
          </w:p>
        </w:tc>
        <w:tc>
          <w:tcPr>
            <w:tcW w:w="1331" w:type="dxa"/>
            <w:noWrap/>
            <w:vAlign w:val="bottom"/>
          </w:tcPr>
          <w:p w14:paraId="129D35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</w:t>
            </w:r>
          </w:p>
        </w:tc>
      </w:tr>
      <w:tr w14:paraId="46DEBC4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8" w:type="dxa"/>
            <w:noWrap/>
            <w:vAlign w:val="bottom"/>
          </w:tcPr>
          <w:p w14:paraId="6759AD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固定资产投资完成额</w:t>
            </w:r>
          </w:p>
        </w:tc>
        <w:tc>
          <w:tcPr>
            <w:tcW w:w="1240" w:type="dxa"/>
            <w:noWrap/>
            <w:vAlign w:val="bottom"/>
          </w:tcPr>
          <w:p w14:paraId="1592E1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47.1</w:t>
            </w:r>
          </w:p>
        </w:tc>
        <w:tc>
          <w:tcPr>
            <w:tcW w:w="1275" w:type="dxa"/>
            <w:noWrap/>
            <w:vAlign w:val="bottom"/>
          </w:tcPr>
          <w:p w14:paraId="0E57F6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46.3</w:t>
            </w:r>
          </w:p>
        </w:tc>
        <w:tc>
          <w:tcPr>
            <w:tcW w:w="1320" w:type="dxa"/>
            <w:vAlign w:val="bottom"/>
          </w:tcPr>
          <w:p w14:paraId="3840BF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</w:t>
            </w:r>
          </w:p>
        </w:tc>
        <w:tc>
          <w:tcPr>
            <w:tcW w:w="1320" w:type="dxa"/>
            <w:vAlign w:val="bottom"/>
          </w:tcPr>
          <w:p w14:paraId="1E9EDF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44.5</w:t>
            </w:r>
          </w:p>
        </w:tc>
        <w:tc>
          <w:tcPr>
            <w:tcW w:w="1331" w:type="dxa"/>
            <w:noWrap/>
            <w:vAlign w:val="bottom"/>
          </w:tcPr>
          <w:p w14:paraId="2ABDA8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</w:t>
            </w:r>
          </w:p>
        </w:tc>
      </w:tr>
      <w:tr w14:paraId="7017BD2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8" w:type="dxa"/>
            <w:noWrap/>
            <w:vAlign w:val="bottom"/>
          </w:tcPr>
          <w:p w14:paraId="4267BB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平均库存量</w:t>
            </w:r>
          </w:p>
        </w:tc>
        <w:tc>
          <w:tcPr>
            <w:tcW w:w="1240" w:type="dxa"/>
            <w:noWrap/>
            <w:vAlign w:val="bottom"/>
          </w:tcPr>
          <w:p w14:paraId="6A6C6A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49.8</w:t>
            </w:r>
          </w:p>
        </w:tc>
        <w:tc>
          <w:tcPr>
            <w:tcW w:w="1275" w:type="dxa"/>
            <w:noWrap/>
            <w:vAlign w:val="bottom"/>
          </w:tcPr>
          <w:p w14:paraId="5549A5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50.1</w:t>
            </w:r>
          </w:p>
        </w:tc>
        <w:tc>
          <w:tcPr>
            <w:tcW w:w="1320" w:type="dxa"/>
            <w:vAlign w:val="bottom"/>
          </w:tcPr>
          <w:p w14:paraId="607BF9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-0.3</w:t>
            </w:r>
          </w:p>
        </w:tc>
        <w:tc>
          <w:tcPr>
            <w:tcW w:w="1320" w:type="dxa"/>
            <w:vAlign w:val="bottom"/>
          </w:tcPr>
          <w:p w14:paraId="5CBC91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50.6</w:t>
            </w:r>
          </w:p>
        </w:tc>
        <w:tc>
          <w:tcPr>
            <w:tcW w:w="1331" w:type="dxa"/>
            <w:noWrap/>
            <w:vAlign w:val="bottom"/>
          </w:tcPr>
          <w:p w14:paraId="48894C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-0.8</w:t>
            </w:r>
          </w:p>
        </w:tc>
      </w:tr>
      <w:tr w14:paraId="03213BD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8" w:type="dxa"/>
            <w:noWrap/>
            <w:vAlign w:val="bottom"/>
          </w:tcPr>
          <w:p w14:paraId="1FC9AC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库存周转次数</w:t>
            </w:r>
          </w:p>
        </w:tc>
        <w:tc>
          <w:tcPr>
            <w:tcW w:w="1240" w:type="dxa"/>
            <w:noWrap/>
            <w:vAlign w:val="bottom"/>
          </w:tcPr>
          <w:p w14:paraId="4364C0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51.6</w:t>
            </w:r>
          </w:p>
        </w:tc>
        <w:tc>
          <w:tcPr>
            <w:tcW w:w="1275" w:type="dxa"/>
            <w:noWrap/>
            <w:vAlign w:val="bottom"/>
          </w:tcPr>
          <w:p w14:paraId="0F9BF1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51.5</w:t>
            </w:r>
          </w:p>
        </w:tc>
        <w:tc>
          <w:tcPr>
            <w:tcW w:w="1320" w:type="dxa"/>
            <w:vAlign w:val="bottom"/>
          </w:tcPr>
          <w:p w14:paraId="0DFFF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</w:t>
            </w:r>
          </w:p>
        </w:tc>
        <w:tc>
          <w:tcPr>
            <w:tcW w:w="1320" w:type="dxa"/>
            <w:vAlign w:val="bottom"/>
          </w:tcPr>
          <w:p w14:paraId="1EA524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49.3</w:t>
            </w:r>
          </w:p>
        </w:tc>
        <w:tc>
          <w:tcPr>
            <w:tcW w:w="1331" w:type="dxa"/>
            <w:noWrap/>
            <w:vAlign w:val="bottom"/>
          </w:tcPr>
          <w:p w14:paraId="64432A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</w:t>
            </w:r>
          </w:p>
        </w:tc>
      </w:tr>
      <w:tr w14:paraId="4DC3249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8" w:type="dxa"/>
            <w:noWrap/>
            <w:vAlign w:val="bottom"/>
          </w:tcPr>
          <w:p w14:paraId="7B8BDA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业务活动预期</w:t>
            </w:r>
          </w:p>
        </w:tc>
        <w:tc>
          <w:tcPr>
            <w:tcW w:w="1240" w:type="dxa"/>
            <w:noWrap/>
            <w:vAlign w:val="bottom"/>
          </w:tcPr>
          <w:p w14:paraId="304B0D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53.2</w:t>
            </w:r>
          </w:p>
        </w:tc>
        <w:tc>
          <w:tcPr>
            <w:tcW w:w="1275" w:type="dxa"/>
            <w:noWrap/>
            <w:vAlign w:val="bottom"/>
          </w:tcPr>
          <w:p w14:paraId="7624E0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51.1</w:t>
            </w:r>
          </w:p>
        </w:tc>
        <w:tc>
          <w:tcPr>
            <w:tcW w:w="1320" w:type="dxa"/>
            <w:vAlign w:val="bottom"/>
          </w:tcPr>
          <w:p w14:paraId="420342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</w:t>
            </w:r>
          </w:p>
        </w:tc>
        <w:tc>
          <w:tcPr>
            <w:tcW w:w="1320" w:type="dxa"/>
            <w:vAlign w:val="bottom"/>
          </w:tcPr>
          <w:p w14:paraId="52EC3F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51.7</w:t>
            </w:r>
          </w:p>
        </w:tc>
        <w:tc>
          <w:tcPr>
            <w:tcW w:w="1331" w:type="dxa"/>
            <w:noWrap/>
            <w:vAlign w:val="bottom"/>
          </w:tcPr>
          <w:p w14:paraId="42FD4D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</w:t>
            </w:r>
          </w:p>
        </w:tc>
      </w:tr>
      <w:tr w14:paraId="07C0D2C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8" w:type="dxa"/>
            <w:noWrap/>
            <w:vAlign w:val="bottom"/>
          </w:tcPr>
          <w:p w14:paraId="260586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物流服务价格</w:t>
            </w:r>
          </w:p>
        </w:tc>
        <w:tc>
          <w:tcPr>
            <w:tcW w:w="1240" w:type="dxa"/>
            <w:noWrap/>
            <w:vAlign w:val="bottom"/>
          </w:tcPr>
          <w:p w14:paraId="0F04B3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49.8 </w:t>
            </w:r>
          </w:p>
        </w:tc>
        <w:tc>
          <w:tcPr>
            <w:tcW w:w="1275" w:type="dxa"/>
            <w:noWrap/>
            <w:vAlign w:val="bottom"/>
          </w:tcPr>
          <w:p w14:paraId="0C1B6C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49.9 </w:t>
            </w:r>
          </w:p>
        </w:tc>
        <w:tc>
          <w:tcPr>
            <w:tcW w:w="1320" w:type="dxa"/>
            <w:vAlign w:val="bottom"/>
          </w:tcPr>
          <w:p w14:paraId="2A9141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</w:t>
            </w:r>
          </w:p>
        </w:tc>
        <w:tc>
          <w:tcPr>
            <w:tcW w:w="1320" w:type="dxa"/>
            <w:vAlign w:val="center"/>
          </w:tcPr>
          <w:p w14:paraId="490CD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51.6</w:t>
            </w:r>
          </w:p>
        </w:tc>
        <w:tc>
          <w:tcPr>
            <w:tcW w:w="1331" w:type="dxa"/>
            <w:noWrap/>
            <w:vAlign w:val="bottom"/>
          </w:tcPr>
          <w:p w14:paraId="09D7B1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-1.8</w:t>
            </w:r>
          </w:p>
        </w:tc>
      </w:tr>
      <w:tr w14:paraId="50A5745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8" w:type="dxa"/>
            <w:noWrap/>
            <w:vAlign w:val="bottom"/>
          </w:tcPr>
          <w:p w14:paraId="08F437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设备利用率</w:t>
            </w:r>
          </w:p>
        </w:tc>
        <w:tc>
          <w:tcPr>
            <w:tcW w:w="1240" w:type="dxa"/>
            <w:noWrap/>
            <w:vAlign w:val="bottom"/>
          </w:tcPr>
          <w:p w14:paraId="0AC13B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54.1</w:t>
            </w:r>
          </w:p>
        </w:tc>
        <w:tc>
          <w:tcPr>
            <w:tcW w:w="1275" w:type="dxa"/>
            <w:noWrap/>
            <w:vAlign w:val="bottom"/>
          </w:tcPr>
          <w:p w14:paraId="711337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53.8</w:t>
            </w:r>
          </w:p>
        </w:tc>
        <w:tc>
          <w:tcPr>
            <w:tcW w:w="1320" w:type="dxa"/>
            <w:vAlign w:val="bottom"/>
          </w:tcPr>
          <w:p w14:paraId="694077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</w:t>
            </w:r>
          </w:p>
        </w:tc>
        <w:tc>
          <w:tcPr>
            <w:tcW w:w="1320" w:type="dxa"/>
            <w:vAlign w:val="bottom"/>
          </w:tcPr>
          <w:p w14:paraId="240475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50.6 </w:t>
            </w:r>
          </w:p>
        </w:tc>
        <w:tc>
          <w:tcPr>
            <w:tcW w:w="1331" w:type="dxa"/>
            <w:noWrap/>
            <w:vAlign w:val="bottom"/>
          </w:tcPr>
          <w:p w14:paraId="3A7327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3.5</w:t>
            </w:r>
          </w:p>
        </w:tc>
      </w:tr>
      <w:tr w14:paraId="2B3E8F2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8" w:type="dxa"/>
            <w:noWrap/>
            <w:vAlign w:val="bottom"/>
          </w:tcPr>
          <w:p w14:paraId="343F91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从业人员</w:t>
            </w:r>
          </w:p>
        </w:tc>
        <w:tc>
          <w:tcPr>
            <w:tcW w:w="1240" w:type="dxa"/>
            <w:noWrap/>
            <w:vAlign w:val="bottom"/>
          </w:tcPr>
          <w:p w14:paraId="3ABB65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53.4</w:t>
            </w:r>
          </w:p>
        </w:tc>
        <w:tc>
          <w:tcPr>
            <w:tcW w:w="1275" w:type="dxa"/>
            <w:noWrap/>
            <w:vAlign w:val="bottom"/>
          </w:tcPr>
          <w:p w14:paraId="304F32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53.3</w:t>
            </w:r>
          </w:p>
        </w:tc>
        <w:tc>
          <w:tcPr>
            <w:tcW w:w="1320" w:type="dxa"/>
            <w:vAlign w:val="bottom"/>
          </w:tcPr>
          <w:p w14:paraId="25B497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</w:t>
            </w:r>
          </w:p>
        </w:tc>
        <w:tc>
          <w:tcPr>
            <w:tcW w:w="1320" w:type="dxa"/>
            <w:vAlign w:val="bottom"/>
          </w:tcPr>
          <w:p w14:paraId="59CA53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52.8</w:t>
            </w:r>
          </w:p>
        </w:tc>
        <w:tc>
          <w:tcPr>
            <w:tcW w:w="1331" w:type="dxa"/>
            <w:noWrap/>
            <w:vAlign w:val="bottom"/>
          </w:tcPr>
          <w:p w14:paraId="178719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</w:t>
            </w:r>
          </w:p>
        </w:tc>
      </w:tr>
      <w:tr w14:paraId="056406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518" w:type="dxa"/>
            <w:noWrap/>
            <w:vAlign w:val="bottom"/>
          </w:tcPr>
          <w:p w14:paraId="20D7D9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主营业务成本</w:t>
            </w:r>
          </w:p>
        </w:tc>
        <w:tc>
          <w:tcPr>
            <w:tcW w:w="1240" w:type="dxa"/>
            <w:noWrap/>
            <w:vAlign w:val="bottom"/>
          </w:tcPr>
          <w:p w14:paraId="70496D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52.5 </w:t>
            </w:r>
          </w:p>
        </w:tc>
        <w:tc>
          <w:tcPr>
            <w:tcW w:w="1275" w:type="dxa"/>
            <w:noWrap/>
            <w:vAlign w:val="bottom"/>
          </w:tcPr>
          <w:p w14:paraId="3C25C5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52.5 </w:t>
            </w:r>
          </w:p>
        </w:tc>
        <w:tc>
          <w:tcPr>
            <w:tcW w:w="1320" w:type="dxa"/>
            <w:vAlign w:val="bottom"/>
          </w:tcPr>
          <w:p w14:paraId="315553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</w:t>
            </w:r>
          </w:p>
        </w:tc>
        <w:tc>
          <w:tcPr>
            <w:tcW w:w="1320" w:type="dxa"/>
            <w:vAlign w:val="bottom"/>
          </w:tcPr>
          <w:p w14:paraId="34A671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51.3</w:t>
            </w:r>
          </w:p>
        </w:tc>
        <w:tc>
          <w:tcPr>
            <w:tcW w:w="1331" w:type="dxa"/>
            <w:noWrap/>
            <w:vAlign w:val="bottom"/>
          </w:tcPr>
          <w:p w14:paraId="58A5CB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</w:t>
            </w:r>
          </w:p>
        </w:tc>
      </w:tr>
      <w:tr w14:paraId="4717E3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8" w:type="dxa"/>
            <w:noWrap/>
            <w:vAlign w:val="bottom"/>
          </w:tcPr>
          <w:p w14:paraId="4C1F29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新订单（客户需求）</w:t>
            </w:r>
          </w:p>
        </w:tc>
        <w:tc>
          <w:tcPr>
            <w:tcW w:w="1240" w:type="dxa"/>
            <w:noWrap/>
            <w:vAlign w:val="bottom"/>
          </w:tcPr>
          <w:p w14:paraId="041083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52.6</w:t>
            </w:r>
          </w:p>
        </w:tc>
        <w:tc>
          <w:tcPr>
            <w:tcW w:w="1275" w:type="dxa"/>
            <w:noWrap/>
            <w:vAlign w:val="bottom"/>
          </w:tcPr>
          <w:p w14:paraId="562369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52.3</w:t>
            </w:r>
          </w:p>
        </w:tc>
        <w:tc>
          <w:tcPr>
            <w:tcW w:w="1320" w:type="dxa"/>
            <w:vAlign w:val="bottom"/>
          </w:tcPr>
          <w:p w14:paraId="2B2276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</w:t>
            </w:r>
          </w:p>
        </w:tc>
        <w:tc>
          <w:tcPr>
            <w:tcW w:w="1320" w:type="dxa"/>
            <w:vAlign w:val="bottom"/>
          </w:tcPr>
          <w:p w14:paraId="5E2E51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50.2</w:t>
            </w:r>
          </w:p>
        </w:tc>
        <w:tc>
          <w:tcPr>
            <w:tcW w:w="1331" w:type="dxa"/>
            <w:noWrap/>
            <w:vAlign w:val="bottom"/>
          </w:tcPr>
          <w:p w14:paraId="46C505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</w:t>
            </w:r>
          </w:p>
        </w:tc>
      </w:tr>
      <w:tr w14:paraId="32884BB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8" w:type="dxa"/>
            <w:noWrap/>
            <w:vAlign w:val="bottom"/>
          </w:tcPr>
          <w:p w14:paraId="359E32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业务总量</w:t>
            </w:r>
          </w:p>
        </w:tc>
        <w:tc>
          <w:tcPr>
            <w:tcW w:w="1240" w:type="dxa"/>
            <w:noWrap/>
            <w:vAlign w:val="bottom"/>
          </w:tcPr>
          <w:p w14:paraId="5937F4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53.3</w:t>
            </w:r>
          </w:p>
        </w:tc>
        <w:tc>
          <w:tcPr>
            <w:tcW w:w="1275" w:type="dxa"/>
            <w:noWrap/>
            <w:vAlign w:val="bottom"/>
          </w:tcPr>
          <w:p w14:paraId="5BFF86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53.1</w:t>
            </w:r>
          </w:p>
        </w:tc>
        <w:tc>
          <w:tcPr>
            <w:tcW w:w="1320" w:type="dxa"/>
            <w:vAlign w:val="bottom"/>
          </w:tcPr>
          <w:p w14:paraId="7B525E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1320" w:type="dxa"/>
            <w:vAlign w:val="bottom"/>
          </w:tcPr>
          <w:p w14:paraId="2F9343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51.3</w:t>
            </w:r>
          </w:p>
        </w:tc>
        <w:tc>
          <w:tcPr>
            <w:tcW w:w="1331" w:type="dxa"/>
            <w:noWrap/>
            <w:vAlign w:val="bottom"/>
          </w:tcPr>
          <w:p w14:paraId="6A2301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</w:t>
            </w:r>
          </w:p>
        </w:tc>
      </w:tr>
      <w:tr w14:paraId="09537A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8" w:type="dxa"/>
            <w:noWrap/>
            <w:vAlign w:val="bottom"/>
          </w:tcPr>
          <w:p w14:paraId="58D029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资金周转率</w:t>
            </w:r>
          </w:p>
        </w:tc>
        <w:tc>
          <w:tcPr>
            <w:tcW w:w="1240" w:type="dxa"/>
            <w:noWrap/>
            <w:vAlign w:val="bottom"/>
          </w:tcPr>
          <w:p w14:paraId="37E7F3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52.1 </w:t>
            </w:r>
          </w:p>
        </w:tc>
        <w:tc>
          <w:tcPr>
            <w:tcW w:w="1275" w:type="dxa"/>
            <w:noWrap/>
            <w:vAlign w:val="bottom"/>
          </w:tcPr>
          <w:p w14:paraId="05D964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52.4 </w:t>
            </w:r>
          </w:p>
        </w:tc>
        <w:tc>
          <w:tcPr>
            <w:tcW w:w="1320" w:type="dxa"/>
            <w:vAlign w:val="bottom"/>
          </w:tcPr>
          <w:p w14:paraId="0994C1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-0.3</w:t>
            </w:r>
          </w:p>
        </w:tc>
        <w:tc>
          <w:tcPr>
            <w:tcW w:w="1320" w:type="dxa"/>
            <w:vAlign w:val="bottom"/>
          </w:tcPr>
          <w:p w14:paraId="7E272D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51.3 </w:t>
            </w:r>
          </w:p>
        </w:tc>
        <w:tc>
          <w:tcPr>
            <w:tcW w:w="1331" w:type="dxa"/>
            <w:noWrap/>
            <w:vAlign w:val="bottom"/>
          </w:tcPr>
          <w:p w14:paraId="747933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</w:t>
            </w:r>
          </w:p>
        </w:tc>
      </w:tr>
      <w:tr w14:paraId="3CDC591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8" w:type="dxa"/>
            <w:noWrap/>
            <w:vAlign w:val="bottom"/>
          </w:tcPr>
          <w:p w14:paraId="7F8450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主营业务利润</w:t>
            </w:r>
          </w:p>
        </w:tc>
        <w:tc>
          <w:tcPr>
            <w:tcW w:w="1240" w:type="dxa"/>
            <w:noWrap/>
            <w:vAlign w:val="bottom"/>
          </w:tcPr>
          <w:p w14:paraId="277DB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6AD543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47.3</w:t>
            </w:r>
          </w:p>
        </w:tc>
        <w:tc>
          <w:tcPr>
            <w:tcW w:w="1320" w:type="dxa"/>
            <w:vAlign w:val="bottom"/>
          </w:tcPr>
          <w:p w14:paraId="737CA5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20" w:type="dxa"/>
            <w:vAlign w:val="bottom"/>
          </w:tcPr>
          <w:p w14:paraId="64C1D9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44.6</w:t>
            </w:r>
          </w:p>
        </w:tc>
        <w:tc>
          <w:tcPr>
            <w:tcW w:w="1331" w:type="dxa"/>
            <w:noWrap/>
            <w:vAlign w:val="bottom"/>
          </w:tcPr>
          <w:p w14:paraId="2FC468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</w:tbl>
    <w:p w14:paraId="7ADDDB83">
      <w:pPr>
        <w:widowControl/>
        <w:spacing w:line="560" w:lineRule="exact"/>
        <w:jc w:val="center"/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</w:pPr>
    </w:p>
    <w:p w14:paraId="46EC99A5"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" w:eastAsia="仿宋_GB2312"/>
          <w:b w:val="0"/>
          <w:sz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36"/>
          <w:sz w:val="32"/>
          <w:szCs w:val="32"/>
          <w:lang w:val="en-US" w:eastAsia="zh-CN" w:bidi="ar-SA"/>
        </w:rPr>
        <w:t>一、物流市场需求稳步回升，市场保持扩张区间。</w:t>
      </w:r>
      <w:bookmarkStart w:id="1" w:name="OLE_LINK14"/>
      <w:r>
        <w:rPr>
          <w:rFonts w:hint="eastAsia" w:ascii="仿宋_GB2312" w:hAnsi="仿宋" w:eastAsia="仿宋_GB2312"/>
          <w:b w:val="0"/>
          <w:sz w:val="32"/>
          <w:lang w:val="en-US" w:eastAsia="zh-CN"/>
        </w:rPr>
        <w:t xml:space="preserve"> 6月，福州市物流新订单指数为52.6%，较上月回升0.3个百分点，连续四个月保持在荣枯线以上，物流需求稳步增长。分行业看，运输业新订单指数为53.0%，较上月回升0.2个百分点；多式联运和运输代理业新订单指数为52.8%，较上月回升0.3个百分点；装卸搬运和仓储业新订单指数为51.5%，较上月回升0.5个百分点。分A级企业看，5A级企业新订单指数为53.3%，较上月回升0.1个百分点；4A级企业新订单指数为52.5%，较上月回升0.5个百分点；3A级企业新订单指数为51.8%，较上月回升0.5个百分点。</w:t>
      </w:r>
    </w:p>
    <w:p w14:paraId="7E688656">
      <w:pPr>
        <w:jc w:val="center"/>
        <w:rPr>
          <w:rFonts w:hint="eastAsia" w:ascii="仿宋_GB2312" w:hAnsi="Times New Roman" w:eastAsia="仿宋_GB2312"/>
          <w:b/>
          <w:bCs/>
          <w:sz w:val="32"/>
          <w:szCs w:val="32"/>
        </w:rPr>
      </w:pPr>
      <w:r>
        <w:drawing>
          <wp:inline distT="0" distB="0" distL="114300" distR="114300">
            <wp:extent cx="5615940" cy="2919095"/>
            <wp:effectExtent l="0" t="0" r="7620" b="6985"/>
            <wp:docPr id="6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rFonts w:hint="eastAsia" w:ascii="仿宋_GB2312" w:hAnsi="Times New Roman" w:eastAsia="仿宋_GB2312"/>
          <w:b/>
          <w:bCs/>
          <w:sz w:val="32"/>
          <w:szCs w:val="32"/>
          <w:lang w:val="en-US" w:eastAsia="zh-CN"/>
        </w:rPr>
        <w:t xml:space="preserve">图2  </w:t>
      </w:r>
      <w:r>
        <w:rPr>
          <w:rFonts w:hint="eastAsia" w:ascii="仿宋_GB2312" w:hAnsi="Times New Roman" w:eastAsia="仿宋_GB2312"/>
          <w:b/>
          <w:bCs/>
          <w:sz w:val="32"/>
          <w:szCs w:val="32"/>
        </w:rPr>
        <w:t>202</w:t>
      </w:r>
      <w:r>
        <w:rPr>
          <w:rFonts w:hint="eastAsia" w:ascii="仿宋_GB2312" w:hAnsi="Times New Roman" w:eastAsia="仿宋_GB2312"/>
          <w:b/>
          <w:bCs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/>
          <w:b/>
          <w:bCs/>
          <w:sz w:val="32"/>
          <w:szCs w:val="32"/>
        </w:rPr>
        <w:t>年</w:t>
      </w:r>
      <w:r>
        <w:rPr>
          <w:rFonts w:hint="eastAsia" w:ascii="仿宋_GB2312" w:hAnsi="Times New Roman" w:eastAsia="仿宋_GB2312"/>
          <w:b/>
          <w:bCs/>
          <w:sz w:val="32"/>
          <w:szCs w:val="32"/>
          <w:lang w:val="en-US" w:eastAsia="zh-CN"/>
        </w:rPr>
        <w:t>6月</w:t>
      </w:r>
      <w:r>
        <w:rPr>
          <w:rFonts w:hint="eastAsia" w:ascii="仿宋_GB2312" w:hAnsi="Times New Roman" w:eastAsia="仿宋_GB2312"/>
          <w:b/>
          <w:bCs/>
          <w:sz w:val="32"/>
          <w:szCs w:val="32"/>
        </w:rPr>
        <w:t>-202</w:t>
      </w:r>
      <w:r>
        <w:rPr>
          <w:rFonts w:hint="eastAsia" w:ascii="仿宋_GB2312" w:hAnsi="Times New Roman" w:eastAsia="仿宋_GB2312"/>
          <w:b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Times New Roman" w:eastAsia="仿宋_GB2312"/>
          <w:b/>
          <w:bCs/>
          <w:sz w:val="32"/>
          <w:szCs w:val="32"/>
        </w:rPr>
        <w:t>年</w:t>
      </w:r>
      <w:r>
        <w:rPr>
          <w:rFonts w:hint="eastAsia" w:ascii="仿宋_GB2312" w:hAnsi="Times New Roman" w:eastAsia="仿宋_GB2312"/>
          <w:b/>
          <w:bCs/>
          <w:sz w:val="32"/>
          <w:szCs w:val="32"/>
          <w:lang w:val="en-US" w:eastAsia="zh-CN"/>
        </w:rPr>
        <w:t>6月</w:t>
      </w:r>
      <w:r>
        <w:rPr>
          <w:rFonts w:hint="eastAsia" w:ascii="仿宋_GB2312" w:hAnsi="Times New Roman" w:eastAsia="仿宋_GB2312"/>
          <w:b/>
          <w:bCs/>
          <w:sz w:val="32"/>
          <w:szCs w:val="32"/>
        </w:rPr>
        <w:t>福州市物流新订单指数图</w:t>
      </w:r>
      <w:bookmarkEnd w:id="1"/>
    </w:p>
    <w:p w14:paraId="729E90F0">
      <w:pPr>
        <w:pStyle w:val="6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36"/>
          <w:sz w:val="32"/>
          <w:szCs w:val="32"/>
          <w:lang w:val="en-US" w:eastAsia="zh-CN" w:bidi="ar-SA"/>
        </w:rPr>
        <w:t>二、物流业务总量小幅回升，运行态势稳中有升。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6月，福州市物流业务总量指数为53.3%，较上月回升0.2个百分点，连续四个月保持在53%左右景气区间，物流业务活动保持活跃。分行业看，运输业业务总量指数为53.7%，较上月回升0.2个百分点；多式联运和运输代理业业务总量指数为53.4%，较上月回升0.6个百分点；装卸搬运和仓储业业务总量指数为52.3%，较上月回落0.2个百分点。分A级企业看，5A级企业业务总量指数为54.2%，较上月回升0.4个百分点；4A级企业业务总量指数为53.0%，与上月持平；3A级企业业务总量指数为52.3%，较上月回升0.1个百分点。</w:t>
      </w:r>
    </w:p>
    <w:p w14:paraId="2E71B852">
      <w:pPr>
        <w:widowControl w:val="0"/>
        <w:numPr>
          <w:ilvl w:val="0"/>
          <w:numId w:val="0"/>
        </w:numPr>
        <w:spacing w:line="390" w:lineRule="atLeast"/>
        <w:jc w:val="right"/>
        <w:rPr>
          <w:rFonts w:hint="eastAsia" w:ascii="仿宋_GB2312" w:hAnsi="仿宋" w:eastAsia="仿宋_GB2312"/>
          <w:b w:val="0"/>
          <w:bCs w:val="0"/>
          <w:color w:val="auto"/>
          <w:sz w:val="32"/>
          <w:szCs w:val="32"/>
        </w:rPr>
      </w:pPr>
      <w:r>
        <w:drawing>
          <wp:inline distT="0" distB="0" distL="114300" distR="114300">
            <wp:extent cx="5614670" cy="2366010"/>
            <wp:effectExtent l="4445" t="4445" r="19685" b="6985"/>
            <wp:docPr id="2" name="图表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-6091555</wp:posOffset>
            </wp:positionV>
            <wp:extent cx="5835650" cy="2407285"/>
            <wp:effectExtent l="4445" t="4445" r="12065" b="11430"/>
            <wp:wrapNone/>
            <wp:docPr id="9" name="图表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14:paraId="426CE14F">
      <w:pPr>
        <w:widowControl/>
        <w:spacing w:line="560" w:lineRule="exact"/>
        <w:jc w:val="center"/>
        <w:rPr>
          <w:rFonts w:hint="eastAsia" w:ascii="仿宋_GB2312" w:hAnsi="Times New Roman" w:eastAsia="仿宋_GB2312"/>
          <w:b/>
          <w:bCs/>
          <w:sz w:val="32"/>
          <w:szCs w:val="32"/>
        </w:rPr>
      </w:pPr>
      <w:bookmarkStart w:id="2" w:name="OLE_LINK9"/>
      <w:r>
        <w:rPr>
          <w:rFonts w:hint="eastAsia" w:ascii="仿宋_GB2312" w:hAnsi="Times New Roman" w:eastAsia="仿宋_GB2312"/>
          <w:b/>
          <w:bCs/>
          <w:sz w:val="32"/>
          <w:szCs w:val="32"/>
        </w:rPr>
        <w:t>图3  202</w:t>
      </w:r>
      <w:r>
        <w:rPr>
          <w:rFonts w:hint="eastAsia" w:ascii="仿宋_GB2312" w:hAnsi="Times New Roman" w:eastAsia="仿宋_GB2312"/>
          <w:b/>
          <w:bCs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/>
          <w:b/>
          <w:bCs/>
          <w:sz w:val="32"/>
          <w:szCs w:val="32"/>
        </w:rPr>
        <w:t>年</w:t>
      </w:r>
      <w:r>
        <w:rPr>
          <w:rFonts w:hint="eastAsia" w:ascii="仿宋_GB2312" w:hAnsi="Times New Roman" w:eastAsia="仿宋_GB2312"/>
          <w:b/>
          <w:bCs/>
          <w:sz w:val="32"/>
          <w:szCs w:val="32"/>
          <w:lang w:val="en-US" w:eastAsia="zh-CN"/>
        </w:rPr>
        <w:t>6月</w:t>
      </w:r>
      <w:r>
        <w:rPr>
          <w:rFonts w:hint="eastAsia" w:ascii="仿宋_GB2312" w:hAnsi="Times New Roman" w:eastAsia="仿宋_GB2312"/>
          <w:b/>
          <w:bCs/>
          <w:sz w:val="32"/>
          <w:szCs w:val="32"/>
        </w:rPr>
        <w:t>-202</w:t>
      </w:r>
      <w:r>
        <w:rPr>
          <w:rFonts w:hint="eastAsia" w:ascii="仿宋_GB2312" w:hAnsi="Times New Roman" w:eastAsia="仿宋_GB2312"/>
          <w:b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Times New Roman" w:eastAsia="仿宋_GB2312"/>
          <w:b/>
          <w:bCs/>
          <w:sz w:val="32"/>
          <w:szCs w:val="32"/>
        </w:rPr>
        <w:t>年</w:t>
      </w:r>
      <w:r>
        <w:rPr>
          <w:rFonts w:hint="eastAsia" w:ascii="仿宋_GB2312" w:hAnsi="Times New Roman" w:eastAsia="仿宋_GB2312"/>
          <w:b/>
          <w:bCs/>
          <w:sz w:val="32"/>
          <w:szCs w:val="32"/>
          <w:lang w:val="en-US" w:eastAsia="zh-CN"/>
        </w:rPr>
        <w:t>6月</w:t>
      </w:r>
      <w:r>
        <w:rPr>
          <w:rFonts w:hint="eastAsia" w:ascii="仿宋_GB2312" w:hAnsi="Times New Roman" w:eastAsia="仿宋_GB2312"/>
          <w:b/>
          <w:bCs/>
          <w:sz w:val="32"/>
          <w:szCs w:val="32"/>
        </w:rPr>
        <w:t>福州市物流业务总量指数图</w:t>
      </w:r>
      <w:bookmarkEnd w:id="2"/>
    </w:p>
    <w:p w14:paraId="59834224">
      <w:pPr>
        <w:widowControl/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物流行业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就业状况持续改善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6月，福州市物流从业人员指数为53.4%，较上月回升0.1个百分点，连续四个月保持在扩张区间，物流业用工需求持续回暖。</w:t>
      </w:r>
    </w:p>
    <w:p w14:paraId="508C95A3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资金周转率平稳运行。</w:t>
      </w:r>
      <w:r>
        <w:rPr>
          <w:rFonts w:hint="eastAsia" w:ascii="仿宋" w:hAnsi="仿宋" w:eastAsia="仿宋"/>
          <w:sz w:val="32"/>
          <w:szCs w:val="32"/>
        </w:rPr>
        <w:t>6月，福州市物流资金周转率指数为52.1%，较上月回落0.3个百分点，连续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/>
          <w:sz w:val="32"/>
          <w:szCs w:val="32"/>
        </w:rPr>
        <w:t>个月保持在扩张区间，表明资金环境较为宽松，物流业上下游资金周转良好。</w:t>
      </w:r>
    </w:p>
    <w:p w14:paraId="012299F1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五、物流业经营状况持续改善。</w:t>
      </w:r>
      <w:r>
        <w:rPr>
          <w:rFonts w:hint="eastAsia" w:ascii="仿宋" w:hAnsi="仿宋" w:eastAsia="仿宋"/>
          <w:sz w:val="32"/>
          <w:szCs w:val="32"/>
        </w:rPr>
        <w:t>6月，福州市物流业主营业务成本指数为52.5%，与上月持平；物流服务价格指数为49.8%，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较</w:t>
      </w:r>
      <w:r>
        <w:rPr>
          <w:rFonts w:hint="eastAsia" w:ascii="仿宋" w:hAnsi="仿宋" w:eastAsia="仿宋"/>
          <w:sz w:val="32"/>
          <w:szCs w:val="32"/>
        </w:rPr>
        <w:t>上月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回落0.1</w:t>
      </w:r>
      <w:r>
        <w:rPr>
          <w:rFonts w:hint="eastAsia" w:ascii="仿宋" w:hAnsi="仿宋" w:eastAsia="仿宋"/>
          <w:sz w:val="32"/>
          <w:szCs w:val="32"/>
        </w:rPr>
        <w:t>个百分点；主营业务利润指数为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47.7</w:t>
      </w:r>
      <w:r>
        <w:rPr>
          <w:rFonts w:hint="eastAsia" w:ascii="仿宋" w:hAnsi="仿宋" w:eastAsia="仿宋"/>
          <w:sz w:val="32"/>
          <w:szCs w:val="32"/>
        </w:rPr>
        <w:t>%，较上月回升0.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个百分点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较2025年同期（44.6%）相比，主营业务利润指数提升3.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个百分点，行业经营状况同比向好。</w:t>
      </w:r>
    </w:p>
    <w:p w14:paraId="13B783A9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六、库存量略有回落，周转效率有所提升。</w:t>
      </w:r>
      <w:r>
        <w:rPr>
          <w:rFonts w:hint="eastAsia" w:ascii="仿宋" w:hAnsi="仿宋" w:eastAsia="仿宋"/>
          <w:sz w:val="32"/>
          <w:szCs w:val="32"/>
        </w:rPr>
        <w:t>6月，福州市物流平均库存量指数为49.8%，较上月回落0.3个百分点，略低于荣枯线；库存周转次数指数为51.6%，较上月回升0.1个百分点，连续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/>
          <w:sz w:val="32"/>
          <w:szCs w:val="32"/>
        </w:rPr>
        <w:t>个月保持在荣枯线以上，流通效率保持平稳。</w:t>
      </w:r>
    </w:p>
    <w:p w14:paraId="190B98CF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从后期走势看，福州市物流业务活动预期指数为53.2%，较上月回升2.1个百分点，行业发展信心持续提振；新订单指数为52.6%，较上月回升0.3个百分点，市场物流需求稳步释放、业务储备持续扩容。企业对未来市场预期持续向好，物流行业有望继续保持稳中有升运行态势</w:t>
      </w:r>
      <w:bookmarkStart w:id="3" w:name="_GoBack"/>
      <w:bookmarkEnd w:id="3"/>
      <w:r>
        <w:rPr>
          <w:rFonts w:hint="eastAsia" w:ascii="仿宋" w:hAnsi="仿宋" w:eastAsia="仿宋"/>
          <w:sz w:val="32"/>
          <w:szCs w:val="32"/>
          <w:lang w:val="en-US" w:eastAsia="zh-CN"/>
        </w:rPr>
        <w:t>。</w:t>
      </w:r>
    </w:p>
    <w:sectPr>
      <w:footerReference r:id="rId5" w:type="default"/>
      <w:pgSz w:w="11906" w:h="16838"/>
      <w:pgMar w:top="2041" w:right="1474" w:bottom="2041" w:left="1587" w:header="850" w:footer="1247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001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C0C89C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346C7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m3XR8sAgAAVQ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6bddH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346C7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6C5EFD"/>
    <w:rsid w:val="00713735"/>
    <w:rsid w:val="00BA1A55"/>
    <w:rsid w:val="011417D7"/>
    <w:rsid w:val="013272ED"/>
    <w:rsid w:val="015C257B"/>
    <w:rsid w:val="01697A6E"/>
    <w:rsid w:val="01D80BA4"/>
    <w:rsid w:val="02391D70"/>
    <w:rsid w:val="025440E5"/>
    <w:rsid w:val="02606F7C"/>
    <w:rsid w:val="02E02481"/>
    <w:rsid w:val="047D42E8"/>
    <w:rsid w:val="047D7321"/>
    <w:rsid w:val="048700DD"/>
    <w:rsid w:val="05FE7AEC"/>
    <w:rsid w:val="063F75DD"/>
    <w:rsid w:val="064C75F3"/>
    <w:rsid w:val="06A73B15"/>
    <w:rsid w:val="06DF180E"/>
    <w:rsid w:val="06FF7F8B"/>
    <w:rsid w:val="075C3170"/>
    <w:rsid w:val="07846919"/>
    <w:rsid w:val="07ED4390"/>
    <w:rsid w:val="083D71F3"/>
    <w:rsid w:val="08707848"/>
    <w:rsid w:val="088A5836"/>
    <w:rsid w:val="08F5187C"/>
    <w:rsid w:val="08F86C2F"/>
    <w:rsid w:val="08FA1588"/>
    <w:rsid w:val="092751AC"/>
    <w:rsid w:val="09DC645D"/>
    <w:rsid w:val="0A1C3564"/>
    <w:rsid w:val="0A314BB3"/>
    <w:rsid w:val="0AF737B3"/>
    <w:rsid w:val="0B471F76"/>
    <w:rsid w:val="0B6B32EB"/>
    <w:rsid w:val="0B86206A"/>
    <w:rsid w:val="0B8679C0"/>
    <w:rsid w:val="0BFA53FB"/>
    <w:rsid w:val="0C457EA5"/>
    <w:rsid w:val="0C620A9F"/>
    <w:rsid w:val="0D2070E4"/>
    <w:rsid w:val="0D6C5EFD"/>
    <w:rsid w:val="0D713294"/>
    <w:rsid w:val="0DE1094B"/>
    <w:rsid w:val="0E2C4896"/>
    <w:rsid w:val="0ED95707"/>
    <w:rsid w:val="0F6C4267"/>
    <w:rsid w:val="0FBB4634"/>
    <w:rsid w:val="0FFF0F60"/>
    <w:rsid w:val="10ED3781"/>
    <w:rsid w:val="10F62606"/>
    <w:rsid w:val="113736C1"/>
    <w:rsid w:val="118E0AC0"/>
    <w:rsid w:val="121D1E44"/>
    <w:rsid w:val="12E67D0D"/>
    <w:rsid w:val="12F36642"/>
    <w:rsid w:val="13297B07"/>
    <w:rsid w:val="13391238"/>
    <w:rsid w:val="13634AFE"/>
    <w:rsid w:val="13A435AA"/>
    <w:rsid w:val="13C908A3"/>
    <w:rsid w:val="13CB3006"/>
    <w:rsid w:val="13D55753"/>
    <w:rsid w:val="13DA4490"/>
    <w:rsid w:val="14593607"/>
    <w:rsid w:val="14990155"/>
    <w:rsid w:val="14F11E02"/>
    <w:rsid w:val="14FB646C"/>
    <w:rsid w:val="156C5E06"/>
    <w:rsid w:val="158521DA"/>
    <w:rsid w:val="159266A5"/>
    <w:rsid w:val="15983ADE"/>
    <w:rsid w:val="15DD42E8"/>
    <w:rsid w:val="15DE2331"/>
    <w:rsid w:val="16021A7C"/>
    <w:rsid w:val="162559A9"/>
    <w:rsid w:val="166D15EC"/>
    <w:rsid w:val="16865F0D"/>
    <w:rsid w:val="16B25250"/>
    <w:rsid w:val="16DA0614"/>
    <w:rsid w:val="16E6314C"/>
    <w:rsid w:val="17A80401"/>
    <w:rsid w:val="17EF18DE"/>
    <w:rsid w:val="18A83DA1"/>
    <w:rsid w:val="18F71640"/>
    <w:rsid w:val="191C098F"/>
    <w:rsid w:val="193A3C81"/>
    <w:rsid w:val="19691799"/>
    <w:rsid w:val="197B0783"/>
    <w:rsid w:val="19C37B50"/>
    <w:rsid w:val="1A400749"/>
    <w:rsid w:val="1A545E15"/>
    <w:rsid w:val="1ADC6D40"/>
    <w:rsid w:val="1AFA5418"/>
    <w:rsid w:val="1AFF658A"/>
    <w:rsid w:val="1B7504FB"/>
    <w:rsid w:val="1B837749"/>
    <w:rsid w:val="1C2353DB"/>
    <w:rsid w:val="1C55161A"/>
    <w:rsid w:val="1C954CD6"/>
    <w:rsid w:val="1CCD7893"/>
    <w:rsid w:val="1CEE431C"/>
    <w:rsid w:val="1D277E4F"/>
    <w:rsid w:val="1DAB54D4"/>
    <w:rsid w:val="1E32372A"/>
    <w:rsid w:val="1EAF2075"/>
    <w:rsid w:val="1F737547"/>
    <w:rsid w:val="1FAA3E59"/>
    <w:rsid w:val="20BF6730"/>
    <w:rsid w:val="20F51AAC"/>
    <w:rsid w:val="211865F8"/>
    <w:rsid w:val="21300795"/>
    <w:rsid w:val="213C2203"/>
    <w:rsid w:val="21556A3C"/>
    <w:rsid w:val="2189430E"/>
    <w:rsid w:val="22393D7A"/>
    <w:rsid w:val="2277157F"/>
    <w:rsid w:val="22BC0F7A"/>
    <w:rsid w:val="22FA5350"/>
    <w:rsid w:val="23997AF8"/>
    <w:rsid w:val="250550E5"/>
    <w:rsid w:val="25255B79"/>
    <w:rsid w:val="25DF1492"/>
    <w:rsid w:val="26310260"/>
    <w:rsid w:val="268553B8"/>
    <w:rsid w:val="26E4308C"/>
    <w:rsid w:val="270F3FF9"/>
    <w:rsid w:val="274A7152"/>
    <w:rsid w:val="279336AF"/>
    <w:rsid w:val="279A10BA"/>
    <w:rsid w:val="2838400F"/>
    <w:rsid w:val="284B3B4E"/>
    <w:rsid w:val="29B61007"/>
    <w:rsid w:val="29C9048F"/>
    <w:rsid w:val="29E96D83"/>
    <w:rsid w:val="2A050452"/>
    <w:rsid w:val="2A0B548E"/>
    <w:rsid w:val="2A0F651F"/>
    <w:rsid w:val="2A516ABF"/>
    <w:rsid w:val="2AA72265"/>
    <w:rsid w:val="2AB1708B"/>
    <w:rsid w:val="2AE61515"/>
    <w:rsid w:val="2AEE2473"/>
    <w:rsid w:val="2B696EC7"/>
    <w:rsid w:val="2C0F4464"/>
    <w:rsid w:val="2C5520AD"/>
    <w:rsid w:val="2C9A46EE"/>
    <w:rsid w:val="2CE45F28"/>
    <w:rsid w:val="2DD04C09"/>
    <w:rsid w:val="2E1F2D74"/>
    <w:rsid w:val="2E267642"/>
    <w:rsid w:val="2E4C38E0"/>
    <w:rsid w:val="2E6868C1"/>
    <w:rsid w:val="2E7A7C00"/>
    <w:rsid w:val="2E7F4C18"/>
    <w:rsid w:val="2EE11754"/>
    <w:rsid w:val="2F0C3072"/>
    <w:rsid w:val="2F222A6F"/>
    <w:rsid w:val="2F8D311D"/>
    <w:rsid w:val="2FA73070"/>
    <w:rsid w:val="2FE6029E"/>
    <w:rsid w:val="30075E17"/>
    <w:rsid w:val="301A3A2B"/>
    <w:rsid w:val="31082941"/>
    <w:rsid w:val="3115268D"/>
    <w:rsid w:val="311F205E"/>
    <w:rsid w:val="315C2214"/>
    <w:rsid w:val="31BB14B0"/>
    <w:rsid w:val="31C32295"/>
    <w:rsid w:val="323F1C36"/>
    <w:rsid w:val="330E112E"/>
    <w:rsid w:val="33291F9F"/>
    <w:rsid w:val="3442156A"/>
    <w:rsid w:val="34594B05"/>
    <w:rsid w:val="34A22009"/>
    <w:rsid w:val="34FF194B"/>
    <w:rsid w:val="35514B48"/>
    <w:rsid w:val="35584DBD"/>
    <w:rsid w:val="364D08E3"/>
    <w:rsid w:val="36A07989"/>
    <w:rsid w:val="38361BA7"/>
    <w:rsid w:val="385B438D"/>
    <w:rsid w:val="38980F5B"/>
    <w:rsid w:val="38DB4152"/>
    <w:rsid w:val="3923517F"/>
    <w:rsid w:val="393D07AF"/>
    <w:rsid w:val="399A5B82"/>
    <w:rsid w:val="39BA58C5"/>
    <w:rsid w:val="39ED73DC"/>
    <w:rsid w:val="3A233A7B"/>
    <w:rsid w:val="3B280154"/>
    <w:rsid w:val="3B626BF7"/>
    <w:rsid w:val="3BB87FA3"/>
    <w:rsid w:val="3C18637C"/>
    <w:rsid w:val="3C6E55FB"/>
    <w:rsid w:val="3C7C5835"/>
    <w:rsid w:val="3C8A0418"/>
    <w:rsid w:val="3D7F13EA"/>
    <w:rsid w:val="3DA44BB4"/>
    <w:rsid w:val="3DB70E38"/>
    <w:rsid w:val="3DCF5798"/>
    <w:rsid w:val="3F127EC1"/>
    <w:rsid w:val="3F140C48"/>
    <w:rsid w:val="3F8536DE"/>
    <w:rsid w:val="3F8844F1"/>
    <w:rsid w:val="3FEF43DB"/>
    <w:rsid w:val="3FFA41C5"/>
    <w:rsid w:val="412B797C"/>
    <w:rsid w:val="414925C8"/>
    <w:rsid w:val="41B74B29"/>
    <w:rsid w:val="41B8730F"/>
    <w:rsid w:val="41C31810"/>
    <w:rsid w:val="41F46AA5"/>
    <w:rsid w:val="42D83794"/>
    <w:rsid w:val="42FF0328"/>
    <w:rsid w:val="43487B44"/>
    <w:rsid w:val="441B1EAF"/>
    <w:rsid w:val="442440CF"/>
    <w:rsid w:val="4436276D"/>
    <w:rsid w:val="44E5784F"/>
    <w:rsid w:val="44F87C5C"/>
    <w:rsid w:val="453C676D"/>
    <w:rsid w:val="453E5A07"/>
    <w:rsid w:val="45616703"/>
    <w:rsid w:val="458D460F"/>
    <w:rsid w:val="46274A64"/>
    <w:rsid w:val="4659738D"/>
    <w:rsid w:val="465C1684"/>
    <w:rsid w:val="46760BF4"/>
    <w:rsid w:val="46B5206F"/>
    <w:rsid w:val="46E5428C"/>
    <w:rsid w:val="471E22FD"/>
    <w:rsid w:val="47347E28"/>
    <w:rsid w:val="476B3A03"/>
    <w:rsid w:val="47C46D2D"/>
    <w:rsid w:val="47D318F9"/>
    <w:rsid w:val="47E20C23"/>
    <w:rsid w:val="47F768F3"/>
    <w:rsid w:val="480E193A"/>
    <w:rsid w:val="481F17E3"/>
    <w:rsid w:val="486B0882"/>
    <w:rsid w:val="48982662"/>
    <w:rsid w:val="48D95EDE"/>
    <w:rsid w:val="49A81A17"/>
    <w:rsid w:val="49E30645"/>
    <w:rsid w:val="4A720527"/>
    <w:rsid w:val="4AA2290B"/>
    <w:rsid w:val="4AF30348"/>
    <w:rsid w:val="4B283516"/>
    <w:rsid w:val="4B452904"/>
    <w:rsid w:val="4BA754D9"/>
    <w:rsid w:val="4BE92059"/>
    <w:rsid w:val="4BEB0728"/>
    <w:rsid w:val="4C0663D6"/>
    <w:rsid w:val="4C3900E6"/>
    <w:rsid w:val="4C7A7363"/>
    <w:rsid w:val="4CD7378D"/>
    <w:rsid w:val="4D1B3CC8"/>
    <w:rsid w:val="4E28581D"/>
    <w:rsid w:val="4F1424DD"/>
    <w:rsid w:val="4F20556A"/>
    <w:rsid w:val="4FD23C92"/>
    <w:rsid w:val="506D0556"/>
    <w:rsid w:val="509074BA"/>
    <w:rsid w:val="50A732D4"/>
    <w:rsid w:val="50B040E7"/>
    <w:rsid w:val="51366D87"/>
    <w:rsid w:val="51BD75C6"/>
    <w:rsid w:val="52020133"/>
    <w:rsid w:val="52114FFA"/>
    <w:rsid w:val="52251F91"/>
    <w:rsid w:val="528E1C15"/>
    <w:rsid w:val="5325232B"/>
    <w:rsid w:val="533E33EC"/>
    <w:rsid w:val="545A3C3A"/>
    <w:rsid w:val="5475005A"/>
    <w:rsid w:val="54D77655"/>
    <w:rsid w:val="559E5CAD"/>
    <w:rsid w:val="561D378D"/>
    <w:rsid w:val="562E599A"/>
    <w:rsid w:val="567E71F5"/>
    <w:rsid w:val="568069BE"/>
    <w:rsid w:val="56B30A13"/>
    <w:rsid w:val="56CD1E74"/>
    <w:rsid w:val="56EBDAFC"/>
    <w:rsid w:val="56EC2E0B"/>
    <w:rsid w:val="57087F99"/>
    <w:rsid w:val="575C2093"/>
    <w:rsid w:val="578B5303"/>
    <w:rsid w:val="57AE5CC6"/>
    <w:rsid w:val="58771F47"/>
    <w:rsid w:val="587D4DD8"/>
    <w:rsid w:val="58B11D3E"/>
    <w:rsid w:val="59484FC5"/>
    <w:rsid w:val="597204CD"/>
    <w:rsid w:val="59BF6E96"/>
    <w:rsid w:val="59CD7278"/>
    <w:rsid w:val="59E321E9"/>
    <w:rsid w:val="5A177769"/>
    <w:rsid w:val="5A4E1134"/>
    <w:rsid w:val="5AE109BE"/>
    <w:rsid w:val="5B0B62AA"/>
    <w:rsid w:val="5B22280C"/>
    <w:rsid w:val="5B231846"/>
    <w:rsid w:val="5B3D79EE"/>
    <w:rsid w:val="5B4B0B25"/>
    <w:rsid w:val="5B9938B6"/>
    <w:rsid w:val="5BC77895"/>
    <w:rsid w:val="5BDA07B4"/>
    <w:rsid w:val="5D36372E"/>
    <w:rsid w:val="5D6B4B91"/>
    <w:rsid w:val="5D8233AD"/>
    <w:rsid w:val="5DDF315C"/>
    <w:rsid w:val="5F2C7D68"/>
    <w:rsid w:val="5F39195F"/>
    <w:rsid w:val="5FDD96B9"/>
    <w:rsid w:val="601305E4"/>
    <w:rsid w:val="60EC092C"/>
    <w:rsid w:val="60ED0765"/>
    <w:rsid w:val="611D44F1"/>
    <w:rsid w:val="61C61054"/>
    <w:rsid w:val="622D6B06"/>
    <w:rsid w:val="62397900"/>
    <w:rsid w:val="625A3109"/>
    <w:rsid w:val="62E018F9"/>
    <w:rsid w:val="63196698"/>
    <w:rsid w:val="63433810"/>
    <w:rsid w:val="637F291A"/>
    <w:rsid w:val="63AF02F1"/>
    <w:rsid w:val="64A427BB"/>
    <w:rsid w:val="64B74DAD"/>
    <w:rsid w:val="65595AB0"/>
    <w:rsid w:val="65772B2E"/>
    <w:rsid w:val="658905E5"/>
    <w:rsid w:val="65D81703"/>
    <w:rsid w:val="6640680E"/>
    <w:rsid w:val="665729A3"/>
    <w:rsid w:val="667B5A46"/>
    <w:rsid w:val="67286FDE"/>
    <w:rsid w:val="674A631B"/>
    <w:rsid w:val="67AD1D1A"/>
    <w:rsid w:val="67DC5FBE"/>
    <w:rsid w:val="67E805F3"/>
    <w:rsid w:val="67EF3E96"/>
    <w:rsid w:val="681071C0"/>
    <w:rsid w:val="6861575B"/>
    <w:rsid w:val="68D9433D"/>
    <w:rsid w:val="69331556"/>
    <w:rsid w:val="696848C8"/>
    <w:rsid w:val="6981433F"/>
    <w:rsid w:val="69981439"/>
    <w:rsid w:val="69C243A3"/>
    <w:rsid w:val="6AA1366C"/>
    <w:rsid w:val="6AB91291"/>
    <w:rsid w:val="6B5C5C1E"/>
    <w:rsid w:val="6C04774A"/>
    <w:rsid w:val="6CB00A5F"/>
    <w:rsid w:val="6CC11EE3"/>
    <w:rsid w:val="6D363F72"/>
    <w:rsid w:val="6D801E32"/>
    <w:rsid w:val="6DE108CB"/>
    <w:rsid w:val="6E922B12"/>
    <w:rsid w:val="6E9D089E"/>
    <w:rsid w:val="6EE64C0C"/>
    <w:rsid w:val="6F9D3433"/>
    <w:rsid w:val="6FCA2F7A"/>
    <w:rsid w:val="6FEF7AF1"/>
    <w:rsid w:val="70607345"/>
    <w:rsid w:val="706758D9"/>
    <w:rsid w:val="70CF58E0"/>
    <w:rsid w:val="719D3914"/>
    <w:rsid w:val="71F25CB4"/>
    <w:rsid w:val="720553A9"/>
    <w:rsid w:val="721F557F"/>
    <w:rsid w:val="72A157FD"/>
    <w:rsid w:val="72E42950"/>
    <w:rsid w:val="7367736B"/>
    <w:rsid w:val="736A3C93"/>
    <w:rsid w:val="73F52BF8"/>
    <w:rsid w:val="74BF4D9A"/>
    <w:rsid w:val="74DB6895"/>
    <w:rsid w:val="74E66770"/>
    <w:rsid w:val="758F7D6B"/>
    <w:rsid w:val="75C850AF"/>
    <w:rsid w:val="77B5517C"/>
    <w:rsid w:val="77B86EDF"/>
    <w:rsid w:val="77D71AEC"/>
    <w:rsid w:val="78CD72FF"/>
    <w:rsid w:val="78EA72AD"/>
    <w:rsid w:val="78EF60BC"/>
    <w:rsid w:val="79620369"/>
    <w:rsid w:val="7A2902FC"/>
    <w:rsid w:val="7A5F5716"/>
    <w:rsid w:val="7A9A5606"/>
    <w:rsid w:val="7ABBFEE9"/>
    <w:rsid w:val="7B5952C8"/>
    <w:rsid w:val="7BCC4583"/>
    <w:rsid w:val="7BDBB1F5"/>
    <w:rsid w:val="7C362A21"/>
    <w:rsid w:val="7C840AEA"/>
    <w:rsid w:val="7CE76881"/>
    <w:rsid w:val="7D6516EC"/>
    <w:rsid w:val="7D910D10"/>
    <w:rsid w:val="7DAF1515"/>
    <w:rsid w:val="7E01736D"/>
    <w:rsid w:val="7E2D26D0"/>
    <w:rsid w:val="7E3E138B"/>
    <w:rsid w:val="7F0B79EB"/>
    <w:rsid w:val="7F2D6CDA"/>
    <w:rsid w:val="7F676157"/>
    <w:rsid w:val="7F9DF0A7"/>
    <w:rsid w:val="7FA263D1"/>
    <w:rsid w:val="7FAA7D13"/>
    <w:rsid w:val="7FAF4202"/>
    <w:rsid w:val="7FFF6C1A"/>
    <w:rsid w:val="8E9BAE4F"/>
    <w:rsid w:val="9D66BA1F"/>
    <w:rsid w:val="DD77D96A"/>
    <w:rsid w:val="DFFCC780"/>
    <w:rsid w:val="E33FBF33"/>
    <w:rsid w:val="ECEFCD2B"/>
    <w:rsid w:val="F7F3C72B"/>
    <w:rsid w:val="FB6DD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90" w:lineRule="atLeas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99"/>
    <w:pPr>
      <w:jc w:val="left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5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rPr>
      <w:sz w:val="24"/>
    </w:rPr>
  </w:style>
  <w:style w:type="character" w:styleId="9">
    <w:name w:val="Strong"/>
    <w:qFormat/>
    <w:uiPriority w:val="22"/>
    <w:rPr>
      <w:rFonts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3.xml"/><Relationship Id="rId8" Type="http://schemas.openxmlformats.org/officeDocument/2006/relationships/chart" Target="charts/chart2.xml"/><Relationship Id="rId7" Type="http://schemas.openxmlformats.org/officeDocument/2006/relationships/chart" Target="charts/chart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chart" Target="charts/chart4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24037;&#20316;\2026&#24037;&#20316;\&#31119;&#24030;&#24066;&#29289;&#27969;&#26223;&#27668;&#25351;&#25968;&#65288;LPI&#65289;&#22522;&#30784;&#25968;&#25454;2021-2026&#65288;2026&#24180;01-5&#26376;&#65289;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19184\Desktop\2026&#24180;1-3&#26376;&#26223;&#27668;&#25351;&#25968;&#25253;&#21578;\&#31119;&#24030;&#24066;&#29289;&#27969;&#26223;&#27668;&#25351;&#25968;&#65288;LPI&#65289;&#22522;&#30784;&#25968;&#25454;2021-2026&#65288;2026&#24180;01-6&#26376;&#65289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24037;&#20316;\2026&#24037;&#20316;\&#31119;&#24030;&#24066;&#29289;&#27969;&#26223;&#27668;&#25351;&#25968;&#65288;LPI&#65289;&#22522;&#30784;&#25968;&#25454;2021-2026&#65288;2026&#24180;01-5&#26376;&#65289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24037;&#20316;\2025&#24037;&#20316;\&#29289;&#27969;&#32479;&#35745;\&#31119;&#24030;&#24066;&#29289;&#27969;&#26223;&#27668;&#25351;&#25968;&#65288;LPI&#65289;&#22522;&#30784;&#25968;&#25454;2021-2025&#65288;2025&#24180;01-12&#26376;&#65289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746302967071375"/>
          <c:y val="0.0811592888816916"/>
          <c:w val="0.878942673537147"/>
          <c:h val="0.650446706835653"/>
        </c:manualLayout>
      </c:layout>
      <c:lineChart>
        <c:grouping val="standard"/>
        <c:varyColors val="0"/>
        <c:ser>
          <c:idx val="0"/>
          <c:order val="0"/>
          <c:spPr>
            <a:ln w="28575" cap="rnd" cmpd="sng" algn="ctr">
              <a:solidFill>
                <a:schemeClr val="accent1"/>
              </a:solidFill>
              <a:prstDash val="solid"/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'[福州市物流景气指数（LPI）基础数据2021-2026（2026年01-5月）.xlsx]景气值指数（2024-2026）'!$T$2:$AF$2</c:f>
              <c:numCache>
                <c:formatCode>yyyy"年"m"月"</c:formatCode>
                <c:ptCount val="13"/>
                <c:pt idx="0" c:formatCode="yyyy&quot;年&quot;m&quot;月&quot;">
                  <c:v>45810</c:v>
                </c:pt>
                <c:pt idx="1" c:formatCode="yyyy&quot;年&quot;m&quot;月&quot;">
                  <c:v>45841</c:v>
                </c:pt>
                <c:pt idx="2" c:formatCode="yyyy&quot;年&quot;m&quot;月&quot;">
                  <c:v>45873</c:v>
                </c:pt>
                <c:pt idx="3" c:formatCode="yyyy&quot;年&quot;m&quot;月&quot;">
                  <c:v>45901</c:v>
                </c:pt>
                <c:pt idx="4" c:formatCode="yyyy&quot;年&quot;m&quot;月&quot;">
                  <c:v>45959</c:v>
                </c:pt>
                <c:pt idx="5" c:formatCode="yyyy&quot;年&quot;m&quot;月&quot;">
                  <c:v>45990</c:v>
                </c:pt>
                <c:pt idx="6" c:formatCode="yyyy&quot;年&quot;m&quot;月&quot;">
                  <c:v>46020</c:v>
                </c:pt>
                <c:pt idx="7" c:formatCode="yyyy&quot;年&quot;m&quot;月&quot;">
                  <c:v>46051</c:v>
                </c:pt>
                <c:pt idx="8" c:formatCode="yyyy&quot;年&quot;m&quot;月&quot;">
                  <c:v>46081</c:v>
                </c:pt>
                <c:pt idx="9" c:formatCode="yyyy&quot;年&quot;m&quot;月&quot;">
                  <c:v>46110</c:v>
                </c:pt>
                <c:pt idx="10" c:formatCode="yyyy&quot;年&quot;m&quot;月&quot;">
                  <c:v>46139</c:v>
                </c:pt>
                <c:pt idx="11" c:formatCode="yyyy&quot;年&quot;m&quot;月&quot;">
                  <c:v>46168</c:v>
                </c:pt>
                <c:pt idx="12" c:formatCode="yyyy&quot;年&quot;m&quot;月&quot;">
                  <c:v>46197</c:v>
                </c:pt>
              </c:numCache>
            </c:numRef>
          </c:cat>
          <c:val>
            <c:numRef>
              <c:f>'[福州市物流景气指数（LPI）基础数据2021-2026（2026年01-5月）.xlsx]景气值指数（2024-2026）'!$T$3:$AF$3</c:f>
              <c:numCache>
                <c:formatCode>0.0</c:formatCode>
                <c:ptCount val="13"/>
                <c:pt idx="0">
                  <c:v>51</c:v>
                </c:pt>
                <c:pt idx="1">
                  <c:v>50.68</c:v>
                </c:pt>
                <c:pt idx="2" c:formatCode="General">
                  <c:v>51.2</c:v>
                </c:pt>
                <c:pt idx="3" c:formatCode="General">
                  <c:v>52.8</c:v>
                </c:pt>
                <c:pt idx="4" c:formatCode="General">
                  <c:v>52.4</c:v>
                </c:pt>
                <c:pt idx="5" c:formatCode="General">
                  <c:v>52.7</c:v>
                </c:pt>
                <c:pt idx="6" c:formatCode="General">
                  <c:v>54.1</c:v>
                </c:pt>
                <c:pt idx="7" c:formatCode="General">
                  <c:v>52.1</c:v>
                </c:pt>
                <c:pt idx="8" c:formatCode="General">
                  <c:v>48.4</c:v>
                </c:pt>
                <c:pt idx="9" c:formatCode="General">
                  <c:v>52.7</c:v>
                </c:pt>
                <c:pt idx="10" c:formatCode="General">
                  <c:v>52.2</c:v>
                </c:pt>
                <c:pt idx="11" c:formatCode="General">
                  <c:v>52.8</c:v>
                </c:pt>
                <c:pt idx="12" c:formatCode="General">
                  <c:v>53.1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0"/>
        <c:smooth val="0"/>
        <c:axId val="118449152"/>
        <c:axId val="118368512"/>
      </c:lineChart>
      <c:dateAx>
        <c:axId val="118449152"/>
        <c:scaling>
          <c:orientation val="minMax"/>
        </c:scaling>
        <c:delete val="0"/>
        <c:axPos val="b"/>
        <c:numFmt formatCode="yyyy&quot;年&quot;m&quot;月&quot;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18368512"/>
        <c:crosses val="autoZero"/>
        <c:auto val="1"/>
        <c:lblOffset val="100"/>
        <c:baseTimeUnit val="months"/>
      </c:dateAx>
      <c:valAx>
        <c:axId val="118368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prstDash val="solid"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184491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4a347412-234e-439c-9e5c-f40d4f4f4098}"/>
      </c:ext>
    </c:extLst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659492944381869"/>
          <c:y val="0.0863687946058191"/>
          <c:w val="0.895284229073611"/>
          <c:h val="0.653443526170799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'[福州市物流景气指数（LPI）基础数据2021-2026（2026年01-6月）.xlsx]景气值指数（2024-2026）'!$T$2:$AF$2</c:f>
              <c:numCache>
                <c:formatCode>yyyy"年"m"月"</c:formatCode>
                <c:ptCount val="13"/>
                <c:pt idx="0" c:formatCode="yyyy&quot;年&quot;m&quot;月&quot;">
                  <c:v>45810</c:v>
                </c:pt>
                <c:pt idx="1" c:formatCode="yyyy&quot;年&quot;m&quot;月&quot;">
                  <c:v>45841</c:v>
                </c:pt>
                <c:pt idx="2" c:formatCode="yyyy&quot;年&quot;m&quot;月&quot;">
                  <c:v>45873</c:v>
                </c:pt>
                <c:pt idx="3" c:formatCode="yyyy&quot;年&quot;m&quot;月&quot;">
                  <c:v>45901</c:v>
                </c:pt>
                <c:pt idx="4" c:formatCode="yyyy&quot;年&quot;m&quot;月&quot;">
                  <c:v>45959</c:v>
                </c:pt>
                <c:pt idx="5" c:formatCode="yyyy&quot;年&quot;m&quot;月&quot;">
                  <c:v>45990</c:v>
                </c:pt>
                <c:pt idx="6" c:formatCode="yyyy&quot;年&quot;m&quot;月&quot;">
                  <c:v>46020</c:v>
                </c:pt>
                <c:pt idx="7" c:formatCode="yyyy&quot;年&quot;m&quot;月&quot;">
                  <c:v>46051</c:v>
                </c:pt>
                <c:pt idx="8" c:formatCode="yyyy&quot;年&quot;m&quot;月&quot;">
                  <c:v>46081</c:v>
                </c:pt>
                <c:pt idx="9" c:formatCode="yyyy&quot;年&quot;m&quot;月&quot;">
                  <c:v>46110</c:v>
                </c:pt>
                <c:pt idx="10" c:formatCode="yyyy&quot;年&quot;m&quot;月&quot;">
                  <c:v>46139</c:v>
                </c:pt>
                <c:pt idx="11" c:formatCode="yyyy&quot;年&quot;m&quot;月&quot;">
                  <c:v>46168</c:v>
                </c:pt>
                <c:pt idx="12" c:formatCode="yyyy&quot;年&quot;m&quot;月&quot;">
                  <c:v>46197</c:v>
                </c:pt>
              </c:numCache>
            </c:numRef>
          </c:cat>
          <c:val>
            <c:numRef>
              <c:f>'[福州市物流景气指数（LPI）基础数据2021-2026（2026年01-6月）.xlsx]景气值指数（2024-2026）'!$T$12:$AF$12</c:f>
              <c:numCache>
                <c:formatCode>General</c:formatCode>
                <c:ptCount val="13"/>
                <c:pt idx="0">
                  <c:v>50.2</c:v>
                </c:pt>
                <c:pt idx="1">
                  <c:v>50.5</c:v>
                </c:pt>
                <c:pt idx="2">
                  <c:v>50.8</c:v>
                </c:pt>
                <c:pt idx="3">
                  <c:v>52.3</c:v>
                </c:pt>
                <c:pt idx="4">
                  <c:v>51.9</c:v>
                </c:pt>
                <c:pt idx="5">
                  <c:v>52.5</c:v>
                </c:pt>
                <c:pt idx="6">
                  <c:v>54.1</c:v>
                </c:pt>
                <c:pt idx="7">
                  <c:v>50.8</c:v>
                </c:pt>
                <c:pt idx="8">
                  <c:v>48.1</c:v>
                </c:pt>
                <c:pt idx="9">
                  <c:v>51.7</c:v>
                </c:pt>
                <c:pt idx="10">
                  <c:v>51.4</c:v>
                </c:pt>
                <c:pt idx="11">
                  <c:v>52.3</c:v>
                </c:pt>
                <c:pt idx="12">
                  <c:v>52.6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0"/>
        <c:smooth val="0"/>
        <c:axId val="118448128"/>
        <c:axId val="118366784"/>
      </c:lineChart>
      <c:dateAx>
        <c:axId val="118448128"/>
        <c:scaling>
          <c:orientation val="minMax"/>
        </c:scaling>
        <c:delete val="0"/>
        <c:axPos val="b"/>
        <c:numFmt formatCode="yyyy&quot;年&quot;m&quot;月&quot;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18366784"/>
        <c:crosses val="autoZero"/>
        <c:auto val="1"/>
        <c:lblOffset val="100"/>
        <c:baseTimeUnit val="months"/>
      </c:dateAx>
      <c:valAx>
        <c:axId val="118366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18448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92c7151c-dd26-491b-8dcd-cc75c263c400}"/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83870998081444"/>
          <c:y val="0.155475021205937"/>
          <c:w val="0.85990798182582"/>
          <c:h val="0.589897439290677"/>
        </c:manualLayout>
      </c:layout>
      <c:lineChart>
        <c:grouping val="standard"/>
        <c:varyColors val="0"/>
        <c:ser>
          <c:idx val="0"/>
          <c:order val="0"/>
          <c:spPr>
            <a:ln w="28575" cap="rnd" cmpd="sng" algn="ctr">
              <a:solidFill>
                <a:schemeClr val="accent1"/>
              </a:solidFill>
              <a:prstDash val="solid"/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'[福州市物流景气指数（LPI）基础数据2021-2026（2026年01-5月）.xlsx]景气值指数（2024-2026）'!$T$2:$AF$2</c:f>
              <c:numCache>
                <c:formatCode>yyyy"年"m"月"</c:formatCode>
                <c:ptCount val="13"/>
                <c:pt idx="0" c:formatCode="yyyy&quot;年&quot;m&quot;月&quot;">
                  <c:v>45810</c:v>
                </c:pt>
                <c:pt idx="1" c:formatCode="yyyy&quot;年&quot;m&quot;月&quot;">
                  <c:v>45841</c:v>
                </c:pt>
                <c:pt idx="2" c:formatCode="yyyy&quot;年&quot;m&quot;月&quot;">
                  <c:v>45873</c:v>
                </c:pt>
                <c:pt idx="3" c:formatCode="yyyy&quot;年&quot;m&quot;月&quot;">
                  <c:v>45901</c:v>
                </c:pt>
                <c:pt idx="4" c:formatCode="yyyy&quot;年&quot;m&quot;月&quot;">
                  <c:v>45959</c:v>
                </c:pt>
                <c:pt idx="5" c:formatCode="yyyy&quot;年&quot;m&quot;月&quot;">
                  <c:v>45990</c:v>
                </c:pt>
                <c:pt idx="6" c:formatCode="yyyy&quot;年&quot;m&quot;月&quot;">
                  <c:v>46020</c:v>
                </c:pt>
                <c:pt idx="7" c:formatCode="yyyy&quot;年&quot;m&quot;月&quot;">
                  <c:v>46051</c:v>
                </c:pt>
                <c:pt idx="8" c:formatCode="yyyy&quot;年&quot;m&quot;月&quot;">
                  <c:v>46081</c:v>
                </c:pt>
                <c:pt idx="9" c:formatCode="yyyy&quot;年&quot;m&quot;月&quot;">
                  <c:v>46110</c:v>
                </c:pt>
                <c:pt idx="10" c:formatCode="yyyy&quot;年&quot;m&quot;月&quot;">
                  <c:v>46139</c:v>
                </c:pt>
                <c:pt idx="11" c:formatCode="yyyy&quot;年&quot;m&quot;月&quot;">
                  <c:v>46168</c:v>
                </c:pt>
                <c:pt idx="12" c:formatCode="yyyy&quot;年&quot;m&quot;月&quot;">
                  <c:v>46197</c:v>
                </c:pt>
              </c:numCache>
            </c:numRef>
          </c:cat>
          <c:val>
            <c:numRef>
              <c:f>'[福州市物流景气指数（LPI）基础数据2021-2026（2026年01-5月）.xlsx]景气值指数（2024-2026）'!$T$13:$AF$13</c:f>
              <c:numCache>
                <c:formatCode>General</c:formatCode>
                <c:ptCount val="13"/>
                <c:pt idx="0">
                  <c:v>51.3</c:v>
                </c:pt>
                <c:pt idx="1">
                  <c:v>50.2</c:v>
                </c:pt>
                <c:pt idx="2">
                  <c:v>50.5</c:v>
                </c:pt>
                <c:pt idx="3">
                  <c:v>53.4</c:v>
                </c:pt>
                <c:pt idx="4">
                  <c:v>52.3</c:v>
                </c:pt>
                <c:pt idx="5">
                  <c:v>52.4</c:v>
                </c:pt>
                <c:pt idx="6">
                  <c:v>53.5</c:v>
                </c:pt>
                <c:pt idx="7">
                  <c:v>52.3</c:v>
                </c:pt>
                <c:pt idx="8">
                  <c:v>48.7</c:v>
                </c:pt>
                <c:pt idx="9">
                  <c:v>53.1</c:v>
                </c:pt>
                <c:pt idx="10">
                  <c:v>52.8</c:v>
                </c:pt>
                <c:pt idx="11">
                  <c:v>53.1</c:v>
                </c:pt>
                <c:pt idx="12">
                  <c:v>53.3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0"/>
        <c:smooth val="0"/>
        <c:axId val="118449664"/>
        <c:axId val="118370240"/>
      </c:lineChart>
      <c:dateAx>
        <c:axId val="118449664"/>
        <c:scaling>
          <c:orientation val="minMax"/>
        </c:scaling>
        <c:delete val="0"/>
        <c:axPos val="b"/>
        <c:numFmt formatCode="yyyy&quot;年&quot;m&quot;月&quot;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18370240"/>
        <c:crosses val="autoZero"/>
        <c:auto val="1"/>
        <c:lblOffset val="100"/>
        <c:baseTimeUnit val="months"/>
      </c:dateAx>
      <c:valAx>
        <c:axId val="118370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184496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13dcb1db-fda0-40b7-ab7c-a1d894b94be5}"/>
      </c:ext>
    </c:extLst>
  </c:chart>
  <c:spPr>
    <a:solidFill>
      <a:schemeClr val="bg1"/>
    </a:solidFill>
    <a:ln w="9525" cap="flat" cmpd="sng" algn="ctr">
      <a:solidFill>
        <a:schemeClr val="bg1"/>
      </a:solidFill>
      <a:prstDash val="solid"/>
      <a:round/>
    </a:ln>
    <a:effectLst/>
  </c:spPr>
  <c:txPr>
    <a:bodyPr/>
    <a:lstStyle/>
    <a:p>
      <a:pPr>
        <a:defRPr lang="zh-CN" sz="1100"/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719402744775"/>
          <c:y val="0.153217684862822"/>
          <c:w val="0.85990798182582"/>
          <c:h val="0.589897439290677"/>
        </c:manualLayout>
      </c:layout>
      <c:lineChart>
        <c:grouping val="standard"/>
        <c:varyColors val="0"/>
        <c:ser>
          <c:idx val="0"/>
          <c:order val="0"/>
          <c:spPr>
            <a:ln w="28575" cap="rnd" cmpd="sng" algn="ctr">
              <a:solidFill>
                <a:schemeClr val="accent1"/>
              </a:solidFill>
              <a:prstDash val="solid"/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'[福州市物流景气指数（LPI）基础数据2021-2025（2025年01-12月）.xlsx]景气值指数（2024-2025）'!$P$2:$AB$2</c:f>
              <c:numCache>
                <c:formatCode>yyyy"年"m"月"</c:formatCode>
                <c:ptCount val="13"/>
                <c:pt idx="0" c:formatCode="yyyy&quot;年&quot;m&quot;月&quot;">
                  <c:v>45689</c:v>
                </c:pt>
                <c:pt idx="1" c:formatCode="yyyy&quot;年&quot;m&quot;月&quot;">
                  <c:v>45717</c:v>
                </c:pt>
                <c:pt idx="2" c:formatCode="yyyy&quot;年&quot;m&quot;月&quot;">
                  <c:v>45748</c:v>
                </c:pt>
                <c:pt idx="3" c:formatCode="yyyy&quot;年&quot;m&quot;月&quot;">
                  <c:v>45778</c:v>
                </c:pt>
                <c:pt idx="4" c:formatCode="yyyy&quot;年&quot;m&quot;月&quot;">
                  <c:v>45810</c:v>
                </c:pt>
                <c:pt idx="5" c:formatCode="yyyy&quot;年&quot;m&quot;月&quot;">
                  <c:v>45841</c:v>
                </c:pt>
                <c:pt idx="6" c:formatCode="yyyy&quot;年&quot;m&quot;月&quot;">
                  <c:v>45873</c:v>
                </c:pt>
                <c:pt idx="7" c:formatCode="yyyy&quot;年&quot;m&quot;月&quot;">
                  <c:v>45901</c:v>
                </c:pt>
                <c:pt idx="8" c:formatCode="yyyy&quot;年&quot;m&quot;月&quot;">
                  <c:v>45959</c:v>
                </c:pt>
                <c:pt idx="9" c:formatCode="yyyy&quot;年&quot;m&quot;月&quot;">
                  <c:v>45990</c:v>
                </c:pt>
                <c:pt idx="10" c:formatCode="yyyy&quot;年&quot;m&quot;月&quot;">
                  <c:v>46020</c:v>
                </c:pt>
                <c:pt idx="11" c:formatCode="yyyy&quot;年&quot;m&quot;月&quot;">
                  <c:v>46051</c:v>
                </c:pt>
                <c:pt idx="12" c:formatCode="yyyy&quot;年&quot;m&quot;月&quot;">
                  <c:v>46081</c:v>
                </c:pt>
              </c:numCache>
            </c:numRef>
          </c:cat>
          <c:val>
            <c:numRef>
              <c:f>'[福州市物流景气指数（LPI）基础数据2021-2025（2025年01-12月）.xlsx]景气值指数（2024-2025）'!$P$13:$AB$13</c:f>
              <c:numCache>
                <c:formatCode>General</c:formatCode>
                <c:ptCount val="13"/>
                <c:pt idx="0">
                  <c:v>50.5</c:v>
                </c:pt>
                <c:pt idx="1">
                  <c:v>51.6</c:v>
                </c:pt>
                <c:pt idx="2">
                  <c:v>50.4</c:v>
                </c:pt>
                <c:pt idx="3">
                  <c:v>51.8</c:v>
                </c:pt>
                <c:pt idx="4">
                  <c:v>51.3</c:v>
                </c:pt>
                <c:pt idx="5">
                  <c:v>50.2</c:v>
                </c:pt>
                <c:pt idx="6">
                  <c:v>50.5</c:v>
                </c:pt>
                <c:pt idx="7">
                  <c:v>53.4</c:v>
                </c:pt>
                <c:pt idx="8">
                  <c:v>52.3</c:v>
                </c:pt>
                <c:pt idx="9">
                  <c:v>52.4</c:v>
                </c:pt>
                <c:pt idx="10">
                  <c:v>53.5</c:v>
                </c:pt>
                <c:pt idx="11">
                  <c:v>52.3</c:v>
                </c:pt>
                <c:pt idx="12">
                  <c:v>48.7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0"/>
        <c:smooth val="0"/>
        <c:axId val="118449664"/>
        <c:axId val="118370240"/>
      </c:lineChart>
      <c:dateAx>
        <c:axId val="118449664"/>
        <c:scaling>
          <c:orientation val="minMax"/>
        </c:scaling>
        <c:delete val="0"/>
        <c:axPos val="b"/>
        <c:numFmt formatCode="yyyy&quot;年&quot;m&quot;月&quot;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18370240"/>
        <c:crosses val="autoZero"/>
        <c:auto val="1"/>
        <c:lblOffset val="100"/>
        <c:baseTimeUnit val="months"/>
      </c:dateAx>
      <c:valAx>
        <c:axId val="118370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184496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13dcb1db-fda0-40b7-ab7c-a1d894b94be5}"/>
      </c:ext>
    </c:extLst>
  </c:chart>
  <c:spPr>
    <a:solidFill>
      <a:schemeClr val="bg1"/>
    </a:solidFill>
    <a:ln w="9525" cap="flat" cmpd="sng" algn="ctr">
      <a:solidFill>
        <a:schemeClr val="bg1"/>
      </a:solidFill>
      <a:prstDash val="solid"/>
      <a:round/>
    </a:ln>
    <a:effectLst/>
  </c:spPr>
  <c:txPr>
    <a:bodyPr/>
    <a:lstStyle/>
    <a:p>
      <a:pPr>
        <a:defRPr lang="zh-CN" sz="1100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acrossLinear" id="2">
  <a:schemeClr val="accent1"/>
  <a:schemeClr val="accent2"/>
  <a:schemeClr val="accent3"/>
  <a:schemeClr val="accent4"/>
  <a:schemeClr val="accent5"/>
  <a:schemeClr val="accent6"/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1488</Words>
  <Characters>1878</Characters>
  <Lines>0</Lines>
  <Paragraphs>0</Paragraphs>
  <TotalTime>109</TotalTime>
  <ScaleCrop>false</ScaleCrop>
  <LinksUpToDate>false</LinksUpToDate>
  <CharactersWithSpaces>1895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2025-05-31T19:40:00Z</dcterms:created>
  <dc:creator>WPS_1675910448</dc:creator>
  <cp:lastModifiedBy>郑亚议</cp:lastModifiedBy>
  <cp:lastPrinted>2025-12-26T19:57:00Z</cp:lastPrinted>
  <dcterms:modified xsi:type="dcterms:W3CDTF">2026-07-23T08:50:44Z</dcterms:modified>
  <dc:title>2025年5月份福州市物流业景气指数（LPI）情况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8EB8EBC25BDC4CA8AD710A3E350ACAFD_13</vt:lpwstr>
  </property>
  <property fmtid="{D5CDD505-2E9C-101B-9397-08002B2CF9AE}" pid="4" name="KSOTemplateDocerSaveRecord">
    <vt:lpwstr>eyJoZGlkIjoiMzEwNTM5NzYwMDRjMzkwZTVkZjY2ODkwMGIxNGU0OTUiLCJ1c2VySWQiOiI3MDgzMDQzMDIifQ==</vt:lpwstr>
  </property>
</Properties>
</file>