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olors1.xml" ContentType="application/vnd.ms-office.chartcolorstyle+xml"/>
  <Override PartName="/word/charts/colors2.xml" ContentType="application/vnd.ms-office.chartcolorstyle+xml"/>
  <Override PartName="/word/charts/colors3.xml" ContentType="application/vnd.ms-office.chartcolorstyle+xml"/>
  <Override PartName="/word/charts/style1.xml" ContentType="application/vnd.ms-office.chartstyle+xml"/>
  <Override PartName="/word/charts/style2.xml" ContentType="application/vnd.ms-office.chartstyle+xml"/>
  <Override PartName="/word/charts/style3.xml" ContentType="application/vnd.ms-office.chartstyle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bookmarkStart w:id="10" w:name="_GoBack"/>
      <w:bookmarkEnd w:id="10"/>
      <w:bookmarkStart w:id="0" w:name="OLE_LINK1"/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2025年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月份福州市物流业景气指数（LPI）情况</w:t>
      </w:r>
      <w:bookmarkEnd w:id="0"/>
    </w:p>
    <w:p>
      <w:pPr>
        <w:spacing w:line="560" w:lineRule="exact"/>
        <w:ind w:firstLine="640" w:firstLineChars="200"/>
        <w:rPr>
          <w:rFonts w:ascii="仿宋_GB2312" w:hAnsi="Times New Roman" w:eastAsia="舒体"/>
          <w:sz w:val="32"/>
          <w:szCs w:val="32"/>
        </w:rPr>
      </w:pPr>
    </w:p>
    <w:p>
      <w:pPr>
        <w:widowControl/>
        <w:spacing w:line="56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b w:val="0"/>
          <w:bCs w:val="0"/>
          <w:kern w:val="2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/>
          <w:b w:val="0"/>
          <w:bCs w:val="0"/>
          <w:kern w:val="2"/>
          <w:sz w:val="32"/>
          <w:szCs w:val="32"/>
        </w:rPr>
        <w:t>月，福州市物流业景气指数（LPI）为5</w:t>
      </w:r>
      <w:r>
        <w:rPr>
          <w:rFonts w:hint="eastAsia" w:ascii="仿宋_GB2312" w:hAnsi="仿宋" w:eastAsia="仿宋_GB2312"/>
          <w:b w:val="0"/>
          <w:bCs w:val="0"/>
          <w:kern w:val="2"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/>
          <w:b w:val="0"/>
          <w:bCs w:val="0"/>
          <w:kern w:val="2"/>
          <w:sz w:val="32"/>
          <w:szCs w:val="32"/>
        </w:rPr>
        <w:t>.</w:t>
      </w:r>
      <w:r>
        <w:rPr>
          <w:rFonts w:hint="eastAsia" w:ascii="仿宋_GB2312" w:hAnsi="仿宋" w:eastAsia="仿宋_GB2312"/>
          <w:b w:val="0"/>
          <w:bCs w:val="0"/>
          <w:kern w:val="2"/>
          <w:sz w:val="32"/>
          <w:szCs w:val="32"/>
          <w:lang w:val="en-US" w:eastAsia="zh-CN"/>
        </w:rPr>
        <w:t>2</w:t>
      </w:r>
      <w:r>
        <w:rPr>
          <w:rFonts w:hint="eastAsia" w:ascii="仿宋_GB2312" w:hAnsi="仿宋" w:eastAsia="仿宋_GB2312"/>
          <w:b w:val="0"/>
          <w:bCs w:val="0"/>
          <w:kern w:val="2"/>
          <w:sz w:val="32"/>
          <w:szCs w:val="32"/>
        </w:rPr>
        <w:t>%，较上月回落</w:t>
      </w:r>
      <w:r>
        <w:rPr>
          <w:rFonts w:hint="eastAsia" w:ascii="仿宋_GB2312" w:hAnsi="仿宋" w:eastAsia="仿宋_GB2312"/>
          <w:b w:val="0"/>
          <w:bCs w:val="0"/>
          <w:kern w:val="2"/>
          <w:sz w:val="32"/>
          <w:szCs w:val="32"/>
          <w:lang w:val="en-US" w:eastAsia="zh-CN"/>
        </w:rPr>
        <w:t>0.8</w:t>
      </w:r>
      <w:r>
        <w:rPr>
          <w:rFonts w:hint="eastAsia" w:ascii="仿宋_GB2312" w:hAnsi="仿宋" w:eastAsia="仿宋_GB2312"/>
          <w:b w:val="0"/>
          <w:bCs w:val="0"/>
          <w:kern w:val="2"/>
          <w:sz w:val="32"/>
          <w:szCs w:val="32"/>
        </w:rPr>
        <w:t>个百分点，保持扩张景气区间（见图1）。12个单项指数呈现“七降</w:t>
      </w:r>
      <w:r>
        <w:rPr>
          <w:rFonts w:hint="eastAsia" w:ascii="仿宋_GB2312" w:hAnsi="仿宋" w:eastAsia="仿宋_GB2312"/>
          <w:b w:val="0"/>
          <w:bCs w:val="0"/>
          <w:kern w:val="2"/>
          <w:sz w:val="32"/>
          <w:szCs w:val="32"/>
          <w:lang w:val="en-US" w:eastAsia="zh-CN"/>
        </w:rPr>
        <w:t>五</w:t>
      </w:r>
      <w:r>
        <w:rPr>
          <w:rFonts w:hint="eastAsia" w:ascii="仿宋_GB2312" w:hAnsi="仿宋" w:eastAsia="仿宋_GB2312"/>
          <w:b w:val="0"/>
          <w:bCs w:val="0"/>
          <w:kern w:val="2"/>
          <w:sz w:val="32"/>
          <w:szCs w:val="32"/>
        </w:rPr>
        <w:t>升”，</w:t>
      </w:r>
      <w:r>
        <w:rPr>
          <w:rFonts w:hint="eastAsia" w:ascii="仿宋_GB2312" w:hAnsi="仿宋" w:eastAsia="仿宋_GB2312"/>
          <w:b w:val="0"/>
          <w:bCs w:val="0"/>
          <w:kern w:val="2"/>
          <w:sz w:val="32"/>
          <w:szCs w:val="32"/>
          <w:lang w:val="en-US" w:eastAsia="zh-CN"/>
        </w:rPr>
        <w:t>其中：</w:t>
      </w:r>
      <w:bookmarkStart w:id="1" w:name="OLE_LINK3"/>
      <w:r>
        <w:rPr>
          <w:rFonts w:hint="eastAsia" w:ascii="仿宋_GB2312" w:hAnsi="仿宋" w:eastAsia="仿宋_GB2312"/>
          <w:b w:val="0"/>
          <w:bCs w:val="0"/>
          <w:kern w:val="2"/>
          <w:sz w:val="32"/>
          <w:szCs w:val="32"/>
          <w:lang w:val="en-US" w:eastAsia="zh-CN"/>
        </w:rPr>
        <w:t>平均库存量、业务预期、物流服务价格、设备利用率、从业人员、主营业务成本和新订单</w:t>
      </w:r>
      <w:bookmarkEnd w:id="1"/>
      <w:r>
        <w:rPr>
          <w:rFonts w:hint="eastAsia" w:ascii="仿宋_GB2312" w:hAnsi="仿宋" w:eastAsia="仿宋_GB2312"/>
          <w:b w:val="0"/>
          <w:bCs w:val="0"/>
          <w:kern w:val="2"/>
          <w:sz w:val="32"/>
          <w:szCs w:val="32"/>
          <w:lang w:val="en-US" w:eastAsia="zh-CN"/>
        </w:rPr>
        <w:t>等指数较上月</w:t>
      </w:r>
      <w:r>
        <w:rPr>
          <w:rFonts w:hint="eastAsia" w:ascii="仿宋_GB2312" w:hAnsi="仿宋" w:eastAsia="仿宋_GB2312"/>
          <w:b w:val="0"/>
          <w:bCs w:val="0"/>
          <w:color w:val="auto"/>
          <w:kern w:val="2"/>
          <w:sz w:val="32"/>
          <w:szCs w:val="32"/>
          <w:lang w:val="en-US" w:eastAsia="zh-CN"/>
        </w:rPr>
        <w:t>有0.5-7.3个百分点不同程度回落，固定资产投资完成额、库存周转次数、业务总量、资金周转和主营</w:t>
      </w:r>
      <w:r>
        <w:rPr>
          <w:rFonts w:hint="eastAsia" w:ascii="仿宋_GB2312" w:hAnsi="仿宋" w:eastAsia="仿宋_GB2312"/>
          <w:b w:val="0"/>
          <w:bCs w:val="0"/>
          <w:kern w:val="2"/>
          <w:sz w:val="32"/>
          <w:szCs w:val="32"/>
          <w:lang w:val="en-US" w:eastAsia="zh-CN"/>
        </w:rPr>
        <w:t>业务利润等指数较上月有0.2-6.2个百分点的回升（见表1）。</w:t>
      </w:r>
    </w:p>
    <w:p>
      <w:pPr>
        <w:widowControl/>
        <w:spacing w:line="560" w:lineRule="exact"/>
        <w:jc w:val="center"/>
        <w:rPr>
          <w:rFonts w:ascii="仿宋_GB2312" w:hAnsi="Times New Roman" w:eastAsia="仿宋_GB2312"/>
          <w:b/>
          <w:bCs/>
          <w:sz w:val="32"/>
          <w:szCs w:val="32"/>
        </w:rPr>
      </w:pPr>
      <w:r>
        <w:rPr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88265</wp:posOffset>
            </wp:positionV>
            <wp:extent cx="5558155" cy="2726690"/>
            <wp:effectExtent l="4445" t="4445" r="15240" b="12065"/>
            <wp:wrapTopAndBottom/>
            <wp:docPr id="2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anchor>
        </w:drawing>
      </w:r>
      <w:r>
        <w:rPr>
          <w:rFonts w:hint="eastAsia" w:ascii="仿宋_GB2312" w:hAnsi="Times New Roman" w:eastAsia="仿宋_GB2312"/>
          <w:b/>
          <w:bCs/>
          <w:sz w:val="32"/>
          <w:szCs w:val="32"/>
        </w:rPr>
        <w:t xml:space="preserve">图1  </w:t>
      </w:r>
      <w:r>
        <w:rPr>
          <w:rFonts w:hint="eastAsia" w:ascii="仿宋_GB2312" w:hAnsi="Times New Roman" w:eastAsia="仿宋_GB2312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Times New Roman" w:eastAsia="仿宋_GB2312"/>
          <w:b/>
          <w:bCs/>
          <w:sz w:val="32"/>
          <w:szCs w:val="32"/>
        </w:rPr>
        <w:t>2024年1月-2025年</w:t>
      </w:r>
      <w:r>
        <w:rPr>
          <w:rFonts w:hint="eastAsia" w:ascii="仿宋_GB2312" w:hAnsi="Times New Roman" w:eastAsia="仿宋_GB2312"/>
          <w:b/>
          <w:bCs/>
          <w:sz w:val="32"/>
          <w:szCs w:val="32"/>
          <w:lang w:val="en-US" w:eastAsia="zh-CN"/>
        </w:rPr>
        <w:t>5</w:t>
      </w:r>
      <w:r>
        <w:rPr>
          <w:rFonts w:hint="eastAsia" w:ascii="仿宋_GB2312" w:hAnsi="Times New Roman" w:eastAsia="仿宋_GB2312"/>
          <w:b/>
          <w:bCs/>
          <w:sz w:val="32"/>
          <w:szCs w:val="32"/>
        </w:rPr>
        <w:t>月福州市物流业景气指数（LPI）</w:t>
      </w:r>
    </w:p>
    <w:p>
      <w:pPr>
        <w:widowControl/>
        <w:spacing w:line="560" w:lineRule="exact"/>
        <w:jc w:val="center"/>
        <w:rPr>
          <w:rFonts w:hint="eastAsia" w:ascii="仿宋_GB2312" w:hAnsi="Times New Roman" w:eastAsia="仿宋_GB2312"/>
          <w:b/>
          <w:bCs/>
          <w:sz w:val="28"/>
          <w:szCs w:val="28"/>
        </w:rPr>
      </w:pPr>
      <w:r>
        <w:rPr>
          <w:rFonts w:hint="eastAsia" w:ascii="仿宋_GB2312" w:hAnsi="Times New Roman" w:eastAsia="仿宋_GB2312"/>
          <w:b/>
          <w:bCs/>
          <w:spacing w:val="-11"/>
          <w:sz w:val="32"/>
          <w:szCs w:val="32"/>
        </w:rPr>
        <w:t>表</w:t>
      </w:r>
      <w:r>
        <w:rPr>
          <w:rFonts w:hint="eastAsia" w:ascii="仿宋_GB2312" w:hAnsi="Times New Roman" w:eastAsia="仿宋_GB2312"/>
          <w:b/>
          <w:bCs/>
          <w:spacing w:val="-11"/>
          <w:sz w:val="32"/>
          <w:szCs w:val="32"/>
          <w:lang w:val="en-US" w:eastAsia="zh-CN"/>
        </w:rPr>
        <w:t>1</w:t>
      </w:r>
      <w:r>
        <w:rPr>
          <w:rFonts w:hint="eastAsia" w:ascii="仿宋_GB2312" w:hAnsi="Times New Roman" w:eastAsia="仿宋_GB2312"/>
          <w:b/>
          <w:bCs/>
          <w:spacing w:val="-11"/>
          <w:sz w:val="32"/>
          <w:szCs w:val="32"/>
        </w:rPr>
        <w:t xml:space="preserve"> 2025年</w:t>
      </w:r>
      <w:r>
        <w:rPr>
          <w:rFonts w:hint="eastAsia" w:ascii="仿宋_GB2312" w:hAnsi="Times New Roman" w:eastAsia="仿宋_GB2312"/>
          <w:b/>
          <w:bCs/>
          <w:spacing w:val="-11"/>
          <w:sz w:val="32"/>
          <w:szCs w:val="32"/>
          <w:lang w:val="en-US" w:eastAsia="zh-CN"/>
        </w:rPr>
        <w:t>5</w:t>
      </w:r>
      <w:r>
        <w:rPr>
          <w:rFonts w:hint="eastAsia" w:ascii="仿宋_GB2312" w:hAnsi="Times New Roman" w:eastAsia="仿宋_GB2312"/>
          <w:b/>
          <w:bCs/>
          <w:spacing w:val="-11"/>
          <w:sz w:val="32"/>
          <w:szCs w:val="32"/>
        </w:rPr>
        <w:t>月福州市物流业景气指数（LPI）环比、同比变化情况</w:t>
      </w:r>
    </w:p>
    <w:tbl>
      <w:tblPr>
        <w:tblStyle w:val="5"/>
        <w:tblW w:w="9004" w:type="dxa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8"/>
        <w:gridCol w:w="1240"/>
        <w:gridCol w:w="1275"/>
        <w:gridCol w:w="1320"/>
        <w:gridCol w:w="1320"/>
        <w:gridCol w:w="1331"/>
      </w:tblGrid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tblHeader/>
          <w:jc w:val="center"/>
        </w:trPr>
        <w:tc>
          <w:tcPr>
            <w:tcW w:w="2518" w:type="dxa"/>
            <w:noWrap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　</w:t>
            </w:r>
          </w:p>
        </w:tc>
        <w:tc>
          <w:tcPr>
            <w:tcW w:w="1240" w:type="dxa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2025年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月（%）</w:t>
            </w:r>
          </w:p>
        </w:tc>
        <w:tc>
          <w:tcPr>
            <w:tcW w:w="1275" w:type="dxa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202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月（%）</w:t>
            </w:r>
          </w:p>
        </w:tc>
        <w:tc>
          <w:tcPr>
            <w:tcW w:w="1320" w:type="dxa"/>
          </w:tcPr>
          <w:p>
            <w:pPr>
              <w:widowControl/>
              <w:spacing w:line="24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环比增减+、-</w:t>
            </w:r>
          </w:p>
        </w:tc>
        <w:tc>
          <w:tcPr>
            <w:tcW w:w="1320" w:type="dxa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2024年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</w:t>
            </w:r>
          </w:p>
          <w:p>
            <w:pPr>
              <w:widowControl/>
              <w:spacing w:line="24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月（%）</w:t>
            </w:r>
          </w:p>
        </w:tc>
        <w:tc>
          <w:tcPr>
            <w:tcW w:w="1331" w:type="dxa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同比增减</w:t>
            </w:r>
          </w:p>
          <w:p>
            <w:pPr>
              <w:widowControl/>
              <w:spacing w:line="24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+、-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518" w:type="dxa"/>
            <w:noWrap/>
            <w:vAlign w:val="bottom"/>
          </w:tcPr>
          <w:p>
            <w:pPr>
              <w:widowControl/>
              <w:spacing w:line="240" w:lineRule="auto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物流业景气指数（LPI）</w:t>
            </w:r>
          </w:p>
        </w:tc>
        <w:tc>
          <w:tcPr>
            <w:tcW w:w="124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51.2</w:t>
            </w:r>
          </w:p>
        </w:tc>
        <w:tc>
          <w:tcPr>
            <w:tcW w:w="1275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52.0</w:t>
            </w:r>
          </w:p>
        </w:tc>
        <w:tc>
          <w:tcPr>
            <w:tcW w:w="13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-0.8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51.3</w:t>
            </w:r>
          </w:p>
        </w:tc>
        <w:tc>
          <w:tcPr>
            <w:tcW w:w="1331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-0.1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518" w:type="dxa"/>
            <w:noWrap/>
            <w:vAlign w:val="bottom"/>
          </w:tcPr>
          <w:p>
            <w:pPr>
              <w:widowControl/>
              <w:spacing w:line="240" w:lineRule="auto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固定资产投资完成额</w:t>
            </w:r>
          </w:p>
        </w:tc>
        <w:tc>
          <w:tcPr>
            <w:tcW w:w="124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49.3</w:t>
            </w:r>
          </w:p>
        </w:tc>
        <w:tc>
          <w:tcPr>
            <w:tcW w:w="1275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48.7</w:t>
            </w:r>
          </w:p>
        </w:tc>
        <w:tc>
          <w:tcPr>
            <w:tcW w:w="13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0.6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39.4</w:t>
            </w:r>
          </w:p>
        </w:tc>
        <w:tc>
          <w:tcPr>
            <w:tcW w:w="1331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9.9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518" w:type="dxa"/>
            <w:noWrap/>
            <w:vAlign w:val="bottom"/>
          </w:tcPr>
          <w:p>
            <w:pPr>
              <w:widowControl/>
              <w:spacing w:line="240" w:lineRule="auto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平均库存量</w:t>
            </w:r>
          </w:p>
        </w:tc>
        <w:tc>
          <w:tcPr>
            <w:tcW w:w="124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50.3</w:t>
            </w:r>
          </w:p>
        </w:tc>
        <w:tc>
          <w:tcPr>
            <w:tcW w:w="1275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51.3</w:t>
            </w:r>
          </w:p>
        </w:tc>
        <w:tc>
          <w:tcPr>
            <w:tcW w:w="13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-1.0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50.5</w:t>
            </w:r>
          </w:p>
        </w:tc>
        <w:tc>
          <w:tcPr>
            <w:tcW w:w="1331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-0.2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518" w:type="dxa"/>
            <w:noWrap/>
            <w:vAlign w:val="bottom"/>
          </w:tcPr>
          <w:p>
            <w:pPr>
              <w:widowControl/>
              <w:spacing w:line="240" w:lineRule="auto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库存周转次数</w:t>
            </w:r>
          </w:p>
        </w:tc>
        <w:tc>
          <w:tcPr>
            <w:tcW w:w="124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50.2</w:t>
            </w:r>
          </w:p>
        </w:tc>
        <w:tc>
          <w:tcPr>
            <w:tcW w:w="1275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44.0</w:t>
            </w:r>
          </w:p>
        </w:tc>
        <w:tc>
          <w:tcPr>
            <w:tcW w:w="13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6.2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44.9</w:t>
            </w:r>
          </w:p>
        </w:tc>
        <w:tc>
          <w:tcPr>
            <w:tcW w:w="1331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5.3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518" w:type="dxa"/>
            <w:noWrap/>
            <w:vAlign w:val="bottom"/>
          </w:tcPr>
          <w:p>
            <w:pPr>
              <w:widowControl/>
              <w:spacing w:line="240" w:lineRule="auto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业务活动预期</w:t>
            </w:r>
          </w:p>
        </w:tc>
        <w:tc>
          <w:tcPr>
            <w:tcW w:w="124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51.5</w:t>
            </w:r>
          </w:p>
        </w:tc>
        <w:tc>
          <w:tcPr>
            <w:tcW w:w="1275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58.8</w:t>
            </w:r>
          </w:p>
        </w:tc>
        <w:tc>
          <w:tcPr>
            <w:tcW w:w="13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-7.3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55.4</w:t>
            </w:r>
          </w:p>
        </w:tc>
        <w:tc>
          <w:tcPr>
            <w:tcW w:w="1331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-3.9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518" w:type="dxa"/>
            <w:noWrap/>
            <w:vAlign w:val="bottom"/>
          </w:tcPr>
          <w:p>
            <w:pPr>
              <w:widowControl/>
              <w:spacing w:line="240" w:lineRule="auto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物流服务价格</w:t>
            </w:r>
          </w:p>
        </w:tc>
        <w:tc>
          <w:tcPr>
            <w:tcW w:w="124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51.8</w:t>
            </w:r>
          </w:p>
        </w:tc>
        <w:tc>
          <w:tcPr>
            <w:tcW w:w="1275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52.3</w:t>
            </w:r>
          </w:p>
        </w:tc>
        <w:tc>
          <w:tcPr>
            <w:tcW w:w="13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-0.5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53.2</w:t>
            </w:r>
          </w:p>
        </w:tc>
        <w:tc>
          <w:tcPr>
            <w:tcW w:w="1331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-1.4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518" w:type="dxa"/>
            <w:noWrap/>
            <w:vAlign w:val="bottom"/>
          </w:tcPr>
          <w:p>
            <w:pPr>
              <w:widowControl/>
              <w:spacing w:line="240" w:lineRule="auto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设备利用率</w:t>
            </w:r>
          </w:p>
        </w:tc>
        <w:tc>
          <w:tcPr>
            <w:tcW w:w="124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50.7</w:t>
            </w:r>
          </w:p>
        </w:tc>
        <w:tc>
          <w:tcPr>
            <w:tcW w:w="1275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53.3</w:t>
            </w:r>
          </w:p>
        </w:tc>
        <w:tc>
          <w:tcPr>
            <w:tcW w:w="13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-2.6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52.7</w:t>
            </w:r>
          </w:p>
        </w:tc>
        <w:tc>
          <w:tcPr>
            <w:tcW w:w="1331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-2.0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518" w:type="dxa"/>
            <w:noWrap/>
            <w:vAlign w:val="bottom"/>
          </w:tcPr>
          <w:p>
            <w:pPr>
              <w:widowControl/>
              <w:spacing w:line="240" w:lineRule="auto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从业人员</w:t>
            </w:r>
          </w:p>
        </w:tc>
        <w:tc>
          <w:tcPr>
            <w:tcW w:w="124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52.6</w:t>
            </w:r>
          </w:p>
        </w:tc>
        <w:tc>
          <w:tcPr>
            <w:tcW w:w="1275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54.3</w:t>
            </w:r>
          </w:p>
        </w:tc>
        <w:tc>
          <w:tcPr>
            <w:tcW w:w="13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-1.7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54.6</w:t>
            </w:r>
          </w:p>
        </w:tc>
        <w:tc>
          <w:tcPr>
            <w:tcW w:w="1331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-2.0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518" w:type="dxa"/>
            <w:noWrap/>
            <w:vAlign w:val="bottom"/>
          </w:tcPr>
          <w:p>
            <w:pPr>
              <w:widowControl/>
              <w:spacing w:line="240" w:lineRule="auto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主营业务成本</w:t>
            </w:r>
          </w:p>
        </w:tc>
        <w:tc>
          <w:tcPr>
            <w:tcW w:w="124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50.8</w:t>
            </w:r>
          </w:p>
        </w:tc>
        <w:tc>
          <w:tcPr>
            <w:tcW w:w="1275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51.8</w:t>
            </w:r>
          </w:p>
        </w:tc>
        <w:tc>
          <w:tcPr>
            <w:tcW w:w="13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-1.0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54.3</w:t>
            </w:r>
          </w:p>
        </w:tc>
        <w:tc>
          <w:tcPr>
            <w:tcW w:w="1331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-3.5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518" w:type="dxa"/>
            <w:noWrap/>
            <w:vAlign w:val="bottom"/>
          </w:tcPr>
          <w:p>
            <w:pPr>
              <w:widowControl/>
              <w:spacing w:line="240" w:lineRule="auto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新订单（客户需求）</w:t>
            </w:r>
          </w:p>
        </w:tc>
        <w:tc>
          <w:tcPr>
            <w:tcW w:w="124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50.3</w:t>
            </w:r>
          </w:p>
        </w:tc>
        <w:tc>
          <w:tcPr>
            <w:tcW w:w="1275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51.7</w:t>
            </w:r>
          </w:p>
        </w:tc>
        <w:tc>
          <w:tcPr>
            <w:tcW w:w="13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-1.4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50.1</w:t>
            </w:r>
          </w:p>
        </w:tc>
        <w:tc>
          <w:tcPr>
            <w:tcW w:w="1331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518" w:type="dxa"/>
            <w:noWrap/>
            <w:vAlign w:val="bottom"/>
          </w:tcPr>
          <w:p>
            <w:pPr>
              <w:widowControl/>
              <w:spacing w:line="240" w:lineRule="auto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业务总量</w:t>
            </w:r>
          </w:p>
        </w:tc>
        <w:tc>
          <w:tcPr>
            <w:tcW w:w="124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51.8</w:t>
            </w:r>
          </w:p>
        </w:tc>
        <w:tc>
          <w:tcPr>
            <w:tcW w:w="1275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50.4</w:t>
            </w:r>
          </w:p>
        </w:tc>
        <w:tc>
          <w:tcPr>
            <w:tcW w:w="13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1.4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51.7</w:t>
            </w:r>
          </w:p>
        </w:tc>
        <w:tc>
          <w:tcPr>
            <w:tcW w:w="1331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518" w:type="dxa"/>
            <w:noWrap/>
            <w:vAlign w:val="bottom"/>
          </w:tcPr>
          <w:p>
            <w:pPr>
              <w:widowControl/>
              <w:spacing w:line="240" w:lineRule="auto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资金周转率</w:t>
            </w:r>
          </w:p>
        </w:tc>
        <w:tc>
          <w:tcPr>
            <w:tcW w:w="124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52.0</w:t>
            </w:r>
          </w:p>
        </w:tc>
        <w:tc>
          <w:tcPr>
            <w:tcW w:w="1275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51.8</w:t>
            </w:r>
          </w:p>
        </w:tc>
        <w:tc>
          <w:tcPr>
            <w:tcW w:w="13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50.5</w:t>
            </w:r>
          </w:p>
        </w:tc>
        <w:tc>
          <w:tcPr>
            <w:tcW w:w="1331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518" w:type="dxa"/>
            <w:noWrap/>
            <w:vAlign w:val="bottom"/>
          </w:tcPr>
          <w:p>
            <w:pPr>
              <w:widowControl/>
              <w:spacing w:line="240" w:lineRule="auto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主营业务利润</w:t>
            </w:r>
          </w:p>
        </w:tc>
        <w:tc>
          <w:tcPr>
            <w:tcW w:w="124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45.1</w:t>
            </w:r>
          </w:p>
        </w:tc>
        <w:tc>
          <w:tcPr>
            <w:tcW w:w="1275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43.8</w:t>
            </w:r>
          </w:p>
        </w:tc>
        <w:tc>
          <w:tcPr>
            <w:tcW w:w="13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1.3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45.5</w:t>
            </w:r>
          </w:p>
        </w:tc>
        <w:tc>
          <w:tcPr>
            <w:tcW w:w="1331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-0.4</w:t>
            </w:r>
          </w:p>
        </w:tc>
      </w:tr>
    </w:tbl>
    <w:p>
      <w:pPr>
        <w:pStyle w:val="2"/>
        <w:keepNext w:val="0"/>
        <w:keepLines w:val="0"/>
        <w:pageBreakBefore w:val="0"/>
        <w:widowControl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物流市场需求减弱，但仍保持扩展区间。</w:t>
      </w:r>
      <w:r>
        <w:rPr>
          <w:rFonts w:hint="eastAsia" w:ascii="仿宋_GB2312" w:hAnsi="仿宋" w:eastAsia="仿宋_GB2312"/>
          <w:b w:val="0"/>
          <w:bCs w:val="0"/>
          <w:kern w:val="2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/>
          <w:b w:val="0"/>
          <w:bCs w:val="0"/>
          <w:kern w:val="2"/>
          <w:sz w:val="32"/>
          <w:szCs w:val="32"/>
        </w:rPr>
        <w:t>月，福州市物流新订单指数</w:t>
      </w:r>
      <w:r>
        <w:rPr>
          <w:rFonts w:hint="eastAsia" w:ascii="仿宋_GB2312" w:hAnsi="仿宋" w:eastAsia="仿宋_GB2312"/>
          <w:b w:val="0"/>
          <w:bCs w:val="0"/>
          <w:color w:val="auto"/>
          <w:kern w:val="2"/>
          <w:sz w:val="32"/>
          <w:szCs w:val="32"/>
        </w:rPr>
        <w:t>为</w:t>
      </w:r>
      <w:r>
        <w:rPr>
          <w:rFonts w:hint="eastAsia" w:ascii="仿宋_GB2312" w:hAnsi="仿宋" w:eastAsia="仿宋_GB2312"/>
          <w:b w:val="0"/>
          <w:bCs w:val="0"/>
          <w:color w:val="auto"/>
          <w:kern w:val="2"/>
          <w:sz w:val="32"/>
          <w:szCs w:val="32"/>
          <w:lang w:val="en-US" w:eastAsia="zh-CN"/>
        </w:rPr>
        <w:t>50.3%，较上月回落1.4个百分点</w:t>
      </w:r>
      <w:r>
        <w:rPr>
          <w:rFonts w:hint="eastAsia" w:ascii="仿宋_GB2312" w:hAnsi="仿宋" w:eastAsia="仿宋_GB2312"/>
          <w:b w:val="0"/>
          <w:bCs w:val="0"/>
          <w:color w:val="auto"/>
          <w:kern w:val="2"/>
          <w:sz w:val="32"/>
          <w:szCs w:val="32"/>
        </w:rPr>
        <w:t>（见图2）。</w:t>
      </w:r>
      <w:r>
        <w:rPr>
          <w:rFonts w:hint="eastAsia" w:ascii="华文楷体" w:hAnsi="华文楷体" w:eastAsia="华文楷体" w:cs="华文楷体"/>
          <w:b w:val="0"/>
          <w:bCs w:val="0"/>
          <w:color w:val="auto"/>
          <w:kern w:val="2"/>
          <w:sz w:val="32"/>
          <w:szCs w:val="32"/>
        </w:rPr>
        <w:t>分行业看，</w:t>
      </w:r>
      <w:bookmarkStart w:id="2" w:name="OLE_LINK5"/>
      <w:r>
        <w:rPr>
          <w:rFonts w:hint="eastAsia" w:ascii="仿宋_GB2312" w:hAnsi="仿宋" w:eastAsia="仿宋_GB2312"/>
          <w:b w:val="0"/>
          <w:bCs w:val="0"/>
          <w:color w:val="auto"/>
          <w:kern w:val="2"/>
          <w:sz w:val="32"/>
          <w:szCs w:val="32"/>
        </w:rPr>
        <w:t>运输业新订单指数为</w:t>
      </w:r>
      <w:r>
        <w:rPr>
          <w:rFonts w:hint="eastAsia" w:ascii="仿宋_GB2312" w:hAnsi="仿宋" w:eastAsia="仿宋_GB2312"/>
          <w:b w:val="0"/>
          <w:bCs w:val="0"/>
          <w:color w:val="auto"/>
          <w:kern w:val="2"/>
          <w:sz w:val="32"/>
          <w:szCs w:val="32"/>
          <w:lang w:val="en-US" w:eastAsia="zh-CN"/>
        </w:rPr>
        <w:t>49.2</w:t>
      </w:r>
      <w:r>
        <w:rPr>
          <w:rFonts w:hint="eastAsia" w:ascii="仿宋_GB2312" w:hAnsi="仿宋" w:eastAsia="仿宋_GB2312"/>
          <w:b w:val="0"/>
          <w:bCs w:val="0"/>
          <w:color w:val="auto"/>
          <w:kern w:val="2"/>
          <w:sz w:val="32"/>
          <w:szCs w:val="32"/>
        </w:rPr>
        <w:t>%，</w:t>
      </w:r>
      <w:r>
        <w:rPr>
          <w:rFonts w:hint="eastAsia" w:ascii="仿宋_GB2312" w:hAnsi="仿宋" w:eastAsia="仿宋_GB2312"/>
          <w:b w:val="0"/>
          <w:bCs w:val="0"/>
          <w:color w:val="auto"/>
          <w:kern w:val="2"/>
          <w:sz w:val="32"/>
          <w:szCs w:val="32"/>
          <w:lang w:eastAsia="zh-CN"/>
        </w:rPr>
        <w:t>较</w:t>
      </w:r>
      <w:r>
        <w:rPr>
          <w:rFonts w:hint="eastAsia" w:ascii="仿宋_GB2312" w:hAnsi="仿宋" w:eastAsia="仿宋_GB2312"/>
          <w:b w:val="0"/>
          <w:bCs w:val="0"/>
          <w:color w:val="auto"/>
          <w:kern w:val="2"/>
          <w:sz w:val="32"/>
          <w:szCs w:val="32"/>
        </w:rPr>
        <w:t>上月回落</w:t>
      </w:r>
      <w:r>
        <w:rPr>
          <w:rFonts w:hint="eastAsia" w:ascii="仿宋_GB2312" w:hAnsi="仿宋" w:eastAsia="仿宋_GB2312"/>
          <w:b w:val="0"/>
          <w:bCs w:val="0"/>
          <w:color w:val="auto"/>
          <w:kern w:val="2"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/>
          <w:b w:val="0"/>
          <w:bCs w:val="0"/>
          <w:color w:val="auto"/>
          <w:kern w:val="2"/>
          <w:sz w:val="32"/>
          <w:szCs w:val="32"/>
        </w:rPr>
        <w:t>.</w:t>
      </w:r>
      <w:r>
        <w:rPr>
          <w:rFonts w:hint="eastAsia" w:ascii="仿宋_GB2312" w:hAnsi="仿宋" w:eastAsia="仿宋_GB2312"/>
          <w:b w:val="0"/>
          <w:bCs w:val="0"/>
          <w:color w:val="auto"/>
          <w:kern w:val="2"/>
          <w:sz w:val="32"/>
          <w:szCs w:val="32"/>
          <w:lang w:val="en-US" w:eastAsia="zh-CN"/>
        </w:rPr>
        <w:t>6</w:t>
      </w:r>
      <w:r>
        <w:rPr>
          <w:rFonts w:hint="eastAsia" w:ascii="仿宋_GB2312" w:hAnsi="仿宋" w:eastAsia="仿宋_GB2312"/>
          <w:b w:val="0"/>
          <w:bCs w:val="0"/>
          <w:color w:val="auto"/>
          <w:kern w:val="2"/>
          <w:sz w:val="32"/>
          <w:szCs w:val="32"/>
        </w:rPr>
        <w:t>个百分点；多式联运和运输代理业</w:t>
      </w:r>
      <w:bookmarkEnd w:id="2"/>
      <w:r>
        <w:rPr>
          <w:rFonts w:hint="eastAsia" w:ascii="仿宋_GB2312" w:hAnsi="仿宋" w:eastAsia="仿宋_GB2312"/>
          <w:b w:val="0"/>
          <w:bCs w:val="0"/>
          <w:color w:val="auto"/>
          <w:kern w:val="2"/>
          <w:sz w:val="32"/>
          <w:szCs w:val="32"/>
        </w:rPr>
        <w:t>新订单指数为52.</w:t>
      </w:r>
      <w:r>
        <w:rPr>
          <w:rFonts w:hint="eastAsia" w:ascii="仿宋_GB2312" w:hAnsi="仿宋" w:eastAsia="仿宋_GB2312"/>
          <w:b w:val="0"/>
          <w:bCs w:val="0"/>
          <w:color w:val="auto"/>
          <w:kern w:val="2"/>
          <w:sz w:val="32"/>
          <w:szCs w:val="32"/>
          <w:lang w:val="en-US" w:eastAsia="zh-CN"/>
        </w:rPr>
        <w:t>3</w:t>
      </w:r>
      <w:r>
        <w:rPr>
          <w:rFonts w:hint="eastAsia" w:ascii="仿宋_GB2312" w:hAnsi="仿宋" w:eastAsia="仿宋_GB2312"/>
          <w:b w:val="0"/>
          <w:bCs w:val="0"/>
          <w:color w:val="auto"/>
          <w:kern w:val="2"/>
          <w:sz w:val="32"/>
          <w:szCs w:val="32"/>
        </w:rPr>
        <w:t>%，较上月</w:t>
      </w:r>
      <w:r>
        <w:rPr>
          <w:rFonts w:hint="eastAsia" w:ascii="仿宋_GB2312" w:hAnsi="仿宋" w:eastAsia="仿宋_GB2312"/>
          <w:b w:val="0"/>
          <w:bCs w:val="0"/>
          <w:color w:val="auto"/>
          <w:kern w:val="2"/>
          <w:sz w:val="32"/>
          <w:szCs w:val="32"/>
          <w:lang w:val="en-US" w:eastAsia="zh-CN"/>
        </w:rPr>
        <w:t>上升0.3</w:t>
      </w:r>
      <w:r>
        <w:rPr>
          <w:rFonts w:hint="eastAsia" w:ascii="仿宋_GB2312" w:hAnsi="仿宋" w:eastAsia="仿宋_GB2312"/>
          <w:b w:val="0"/>
          <w:bCs w:val="0"/>
          <w:color w:val="auto"/>
          <w:kern w:val="2"/>
          <w:sz w:val="32"/>
          <w:szCs w:val="32"/>
        </w:rPr>
        <w:t>个百分点；</w:t>
      </w:r>
      <w:bookmarkStart w:id="3" w:name="OLE_LINK6"/>
      <w:r>
        <w:rPr>
          <w:rFonts w:hint="eastAsia" w:ascii="仿宋_GB2312" w:hAnsi="仿宋" w:eastAsia="仿宋_GB2312"/>
          <w:b w:val="0"/>
          <w:bCs w:val="0"/>
          <w:color w:val="auto"/>
          <w:kern w:val="2"/>
          <w:sz w:val="32"/>
          <w:szCs w:val="32"/>
        </w:rPr>
        <w:t>装卸搬运和仓储业</w:t>
      </w:r>
      <w:bookmarkEnd w:id="3"/>
      <w:r>
        <w:rPr>
          <w:rFonts w:hint="eastAsia" w:ascii="仿宋_GB2312" w:hAnsi="仿宋" w:eastAsia="仿宋_GB2312"/>
          <w:b w:val="0"/>
          <w:bCs w:val="0"/>
          <w:color w:val="auto"/>
          <w:kern w:val="2"/>
          <w:sz w:val="32"/>
          <w:szCs w:val="32"/>
        </w:rPr>
        <w:t>新订单指数为54.</w:t>
      </w:r>
      <w:r>
        <w:rPr>
          <w:rFonts w:hint="eastAsia" w:ascii="仿宋_GB2312" w:hAnsi="仿宋" w:eastAsia="仿宋_GB2312"/>
          <w:b w:val="0"/>
          <w:bCs w:val="0"/>
          <w:color w:val="auto"/>
          <w:kern w:val="2"/>
          <w:sz w:val="32"/>
          <w:szCs w:val="32"/>
          <w:lang w:val="en-US" w:eastAsia="zh-CN"/>
        </w:rPr>
        <w:t>2</w:t>
      </w:r>
      <w:r>
        <w:rPr>
          <w:rFonts w:hint="eastAsia" w:ascii="仿宋_GB2312" w:hAnsi="仿宋" w:eastAsia="仿宋_GB2312"/>
          <w:b w:val="0"/>
          <w:bCs w:val="0"/>
          <w:color w:val="auto"/>
          <w:kern w:val="2"/>
          <w:sz w:val="32"/>
          <w:szCs w:val="32"/>
        </w:rPr>
        <w:t>%，较上月回落</w:t>
      </w:r>
      <w:r>
        <w:rPr>
          <w:rFonts w:hint="eastAsia" w:ascii="仿宋_GB2312" w:hAnsi="仿宋" w:eastAsia="仿宋_GB2312"/>
          <w:b w:val="0"/>
          <w:bCs w:val="0"/>
          <w:color w:val="auto"/>
          <w:kern w:val="2"/>
          <w:sz w:val="32"/>
          <w:szCs w:val="32"/>
          <w:lang w:val="en-US" w:eastAsia="zh-CN"/>
        </w:rPr>
        <w:t>0.7</w:t>
      </w:r>
      <w:r>
        <w:rPr>
          <w:rFonts w:hint="eastAsia" w:ascii="仿宋_GB2312" w:hAnsi="仿宋" w:eastAsia="仿宋_GB2312"/>
          <w:b w:val="0"/>
          <w:bCs w:val="0"/>
          <w:color w:val="auto"/>
          <w:kern w:val="2"/>
          <w:sz w:val="32"/>
          <w:szCs w:val="32"/>
        </w:rPr>
        <w:t>个百分点。</w:t>
      </w:r>
      <w:r>
        <w:rPr>
          <w:rFonts w:hint="eastAsia" w:ascii="华文楷体" w:hAnsi="华文楷体" w:eastAsia="华文楷体" w:cs="华文楷体"/>
          <w:b w:val="0"/>
          <w:bCs w:val="0"/>
          <w:color w:val="auto"/>
          <w:kern w:val="2"/>
          <w:sz w:val="32"/>
          <w:szCs w:val="32"/>
        </w:rPr>
        <w:t>分A级企业看，</w:t>
      </w:r>
      <w:r>
        <w:rPr>
          <w:rFonts w:hint="eastAsia" w:ascii="仿宋_GB2312" w:hAnsi="仿宋" w:eastAsia="仿宋_GB2312"/>
          <w:b w:val="0"/>
          <w:bCs w:val="0"/>
          <w:color w:val="auto"/>
          <w:kern w:val="2"/>
          <w:sz w:val="32"/>
          <w:szCs w:val="32"/>
        </w:rPr>
        <w:t>5A级企业新订单指数为49.6</w:t>
      </w:r>
      <w:r>
        <w:rPr>
          <w:rFonts w:hint="eastAsia" w:ascii="仿宋_GB2312" w:hAnsi="仿宋" w:eastAsia="仿宋_GB2312"/>
          <w:b w:val="0"/>
          <w:bCs w:val="0"/>
          <w:color w:val="auto"/>
          <w:kern w:val="2"/>
          <w:sz w:val="32"/>
          <w:szCs w:val="32"/>
          <w:lang w:val="en-US" w:eastAsia="zh-CN"/>
        </w:rPr>
        <w:t>%</w:t>
      </w:r>
      <w:r>
        <w:rPr>
          <w:rFonts w:hint="eastAsia" w:ascii="仿宋_GB2312" w:hAnsi="仿宋" w:eastAsia="仿宋_GB2312"/>
          <w:b w:val="0"/>
          <w:bCs w:val="0"/>
          <w:color w:val="auto"/>
          <w:kern w:val="2"/>
          <w:sz w:val="32"/>
          <w:szCs w:val="32"/>
        </w:rPr>
        <w:t>，较上月回落</w:t>
      </w:r>
      <w:r>
        <w:rPr>
          <w:rFonts w:hint="eastAsia" w:ascii="仿宋_GB2312" w:hAnsi="仿宋" w:eastAsia="仿宋_GB2312"/>
          <w:b w:val="0"/>
          <w:bCs w:val="0"/>
          <w:color w:val="auto"/>
          <w:kern w:val="2"/>
          <w:sz w:val="32"/>
          <w:szCs w:val="32"/>
          <w:lang w:val="en-US" w:eastAsia="zh-CN"/>
        </w:rPr>
        <w:t>6.4</w:t>
      </w:r>
      <w:r>
        <w:rPr>
          <w:rFonts w:hint="eastAsia" w:ascii="仿宋_GB2312" w:hAnsi="仿宋" w:eastAsia="仿宋_GB2312"/>
          <w:b w:val="0"/>
          <w:bCs w:val="0"/>
          <w:color w:val="auto"/>
          <w:kern w:val="2"/>
          <w:sz w:val="32"/>
          <w:szCs w:val="32"/>
        </w:rPr>
        <w:t>个百分点；4A级企业新订单指数为53.7%</w:t>
      </w:r>
      <w:r>
        <w:rPr>
          <w:rFonts w:hint="eastAsia" w:ascii="仿宋_GB2312" w:hAnsi="仿宋" w:eastAsia="仿宋_GB2312"/>
          <w:b w:val="0"/>
          <w:bCs w:val="0"/>
          <w:color w:val="auto"/>
          <w:kern w:val="2"/>
          <w:sz w:val="32"/>
          <w:szCs w:val="32"/>
          <w:lang w:eastAsia="zh-CN"/>
        </w:rPr>
        <w:t>，</w:t>
      </w:r>
      <w:r>
        <w:rPr>
          <w:rFonts w:hint="eastAsia" w:ascii="仿宋_GB2312" w:hAnsi="仿宋" w:eastAsia="仿宋_GB2312"/>
          <w:b w:val="0"/>
          <w:bCs w:val="0"/>
          <w:color w:val="auto"/>
          <w:kern w:val="2"/>
          <w:sz w:val="32"/>
          <w:szCs w:val="32"/>
        </w:rPr>
        <w:t>较上月回落</w:t>
      </w:r>
      <w:r>
        <w:rPr>
          <w:rFonts w:hint="eastAsia" w:ascii="仿宋_GB2312" w:hAnsi="仿宋" w:eastAsia="仿宋_GB2312"/>
          <w:b w:val="0"/>
          <w:bCs w:val="0"/>
          <w:color w:val="auto"/>
          <w:kern w:val="2"/>
          <w:sz w:val="32"/>
          <w:szCs w:val="32"/>
          <w:lang w:val="en-US" w:eastAsia="zh-CN"/>
        </w:rPr>
        <w:t>3.9</w:t>
      </w:r>
      <w:r>
        <w:rPr>
          <w:rFonts w:hint="eastAsia" w:ascii="仿宋_GB2312" w:hAnsi="仿宋" w:eastAsia="仿宋_GB2312"/>
          <w:b w:val="0"/>
          <w:bCs w:val="0"/>
          <w:color w:val="auto"/>
          <w:kern w:val="2"/>
          <w:sz w:val="32"/>
          <w:szCs w:val="32"/>
        </w:rPr>
        <w:t>个百分点；3A级企业新订单指数为51.</w:t>
      </w:r>
      <w:r>
        <w:rPr>
          <w:rFonts w:hint="eastAsia" w:ascii="仿宋_GB2312" w:hAnsi="仿宋" w:eastAsia="仿宋_GB2312"/>
          <w:b w:val="0"/>
          <w:bCs w:val="0"/>
          <w:color w:val="auto"/>
          <w:kern w:val="2"/>
          <w:sz w:val="32"/>
          <w:szCs w:val="32"/>
          <w:lang w:val="en-US" w:eastAsia="zh-CN"/>
        </w:rPr>
        <w:t>2</w:t>
      </w:r>
      <w:r>
        <w:rPr>
          <w:rFonts w:hint="eastAsia" w:ascii="仿宋_GB2312" w:hAnsi="仿宋" w:eastAsia="仿宋_GB2312"/>
          <w:b w:val="0"/>
          <w:bCs w:val="0"/>
          <w:color w:val="auto"/>
          <w:kern w:val="2"/>
          <w:sz w:val="32"/>
          <w:szCs w:val="32"/>
        </w:rPr>
        <w:t>%，较上月回落</w:t>
      </w:r>
      <w:r>
        <w:rPr>
          <w:rFonts w:hint="eastAsia" w:ascii="仿宋_GB2312" w:hAnsi="仿宋" w:eastAsia="仿宋_GB2312"/>
          <w:b w:val="0"/>
          <w:bCs w:val="0"/>
          <w:color w:val="auto"/>
          <w:kern w:val="2"/>
          <w:sz w:val="32"/>
          <w:szCs w:val="32"/>
          <w:lang w:val="en-US" w:eastAsia="zh-CN"/>
        </w:rPr>
        <w:t>0.6</w:t>
      </w:r>
      <w:r>
        <w:rPr>
          <w:rFonts w:hint="eastAsia" w:ascii="仿宋_GB2312" w:hAnsi="仿宋" w:eastAsia="仿宋_GB2312"/>
          <w:b w:val="0"/>
          <w:bCs w:val="0"/>
          <w:color w:val="auto"/>
          <w:kern w:val="2"/>
          <w:sz w:val="32"/>
          <w:szCs w:val="32"/>
        </w:rPr>
        <w:t>个百分点。</w:t>
      </w:r>
      <w:bookmarkStart w:id="4" w:name="OLE_LINK14"/>
      <w:bookmarkStart w:id="5" w:name="OLE_LINK2"/>
      <w:r>
        <w:rPr>
          <w:rFonts w:hint="eastAsia"/>
          <w:color w:val="auto"/>
          <w:sz w:val="32"/>
          <w:szCs w:val="32"/>
          <w:lang w:val="en-US" w:eastAsia="zh-CN"/>
        </w:rPr>
        <w:t xml:space="preserve"> </w:t>
      </w:r>
    </w:p>
    <w:p>
      <w:pPr>
        <w:numPr>
          <w:ilvl w:val="0"/>
          <w:numId w:val="0"/>
        </w:numPr>
        <w:rPr>
          <w:rFonts w:hint="eastAsia"/>
          <w:color w:val="auto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color w:val="auto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color w:val="auto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color w:val="auto"/>
          <w:sz w:val="32"/>
          <w:szCs w:val="32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eastAsia" w:ascii="仿宋_GB2312" w:hAnsi="仿宋" w:eastAsia="仿宋_GB2312"/>
          <w:b/>
          <w:bCs/>
          <w:sz w:val="32"/>
          <w:szCs w:val="32"/>
          <w:lang w:val="en-US"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13970</wp:posOffset>
            </wp:positionH>
            <wp:positionV relativeFrom="paragraph">
              <wp:posOffset>15875</wp:posOffset>
            </wp:positionV>
            <wp:extent cx="5529580" cy="2433955"/>
            <wp:effectExtent l="4445" t="5080" r="13335" b="14605"/>
            <wp:wrapNone/>
            <wp:docPr id="13" name="图表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anchor>
        </w:drawing>
      </w:r>
    </w:p>
    <w:p>
      <w:pPr>
        <w:pStyle w:val="2"/>
        <w:numPr>
          <w:ilvl w:val="0"/>
          <w:numId w:val="0"/>
        </w:numPr>
        <w:bidi w:val="0"/>
        <w:ind w:firstLine="562" w:firstLineChars="200"/>
        <w:jc w:val="left"/>
        <w:rPr>
          <w:rFonts w:hint="eastAsia"/>
          <w:sz w:val="28"/>
          <w:szCs w:val="28"/>
          <w:lang w:val="en-US" w:eastAsia="zh-CN"/>
        </w:rPr>
      </w:pPr>
    </w:p>
    <w:p>
      <w:pPr>
        <w:pStyle w:val="2"/>
        <w:numPr>
          <w:ilvl w:val="0"/>
          <w:numId w:val="0"/>
        </w:numPr>
        <w:bidi w:val="0"/>
        <w:ind w:firstLine="562" w:firstLineChars="200"/>
        <w:jc w:val="left"/>
        <w:rPr>
          <w:rFonts w:hint="eastAsia"/>
          <w:sz w:val="28"/>
          <w:szCs w:val="28"/>
          <w:lang w:val="en-US" w:eastAsia="zh-CN"/>
        </w:rPr>
      </w:pPr>
    </w:p>
    <w:p>
      <w:pPr>
        <w:pStyle w:val="2"/>
        <w:numPr>
          <w:ilvl w:val="0"/>
          <w:numId w:val="0"/>
        </w:numPr>
        <w:bidi w:val="0"/>
        <w:ind w:firstLine="562" w:firstLineChars="200"/>
        <w:jc w:val="left"/>
        <w:rPr>
          <w:rFonts w:hint="eastAsia"/>
          <w:sz w:val="28"/>
          <w:szCs w:val="28"/>
          <w:lang w:val="en-US" w:eastAsia="zh-CN"/>
        </w:rPr>
      </w:pPr>
    </w:p>
    <w:p>
      <w:pPr>
        <w:pStyle w:val="2"/>
        <w:numPr>
          <w:ilvl w:val="0"/>
          <w:numId w:val="0"/>
        </w:numPr>
        <w:bidi w:val="0"/>
        <w:jc w:val="left"/>
        <w:rPr>
          <w:rFonts w:hint="eastAsia" w:ascii="仿宋_GB2312" w:hAnsi="Times New Roman" w:eastAsia="仿宋_GB2312"/>
          <w:b/>
          <w:bCs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</w:t>
      </w:r>
      <w:r>
        <w:rPr>
          <w:rFonts w:hint="eastAsia" w:ascii="仿宋_GB2312" w:hAnsi="Times New Roman" w:eastAsia="仿宋_GB2312"/>
          <w:b/>
          <w:bCs/>
          <w:sz w:val="28"/>
          <w:szCs w:val="28"/>
        </w:rPr>
        <w:t xml:space="preserve"> </w:t>
      </w:r>
      <w:r>
        <w:rPr>
          <w:rFonts w:hint="eastAsia" w:ascii="仿宋_GB2312" w:hAnsi="Times New Roman" w:eastAsia="仿宋_GB2312"/>
          <w:b/>
          <w:bCs/>
          <w:sz w:val="28"/>
          <w:szCs w:val="28"/>
          <w:lang w:val="en-US" w:eastAsia="zh-CN"/>
        </w:rPr>
        <w:t xml:space="preserve">          </w:t>
      </w:r>
    </w:p>
    <w:p>
      <w:pPr>
        <w:pStyle w:val="2"/>
        <w:numPr>
          <w:ilvl w:val="0"/>
          <w:numId w:val="0"/>
        </w:numPr>
        <w:bidi w:val="0"/>
        <w:jc w:val="center"/>
        <w:rPr>
          <w:rFonts w:hint="eastAsia" w:ascii="仿宋_GB2312" w:hAnsi="Times New Roman" w:eastAsia="仿宋_GB2312"/>
          <w:b/>
          <w:bCs/>
          <w:sz w:val="32"/>
          <w:szCs w:val="32"/>
        </w:rPr>
      </w:pPr>
      <w:r>
        <w:rPr>
          <w:rFonts w:hint="eastAsia" w:ascii="仿宋_GB2312" w:hAnsi="Times New Roman" w:eastAsia="仿宋_GB2312"/>
          <w:b/>
          <w:bCs/>
          <w:sz w:val="32"/>
          <w:szCs w:val="32"/>
          <w:lang w:val="en-US" w:eastAsia="zh-CN"/>
        </w:rPr>
        <w:t xml:space="preserve">图2  </w:t>
      </w:r>
      <w:r>
        <w:rPr>
          <w:rFonts w:hint="eastAsia" w:ascii="仿宋_GB2312" w:hAnsi="Times New Roman" w:eastAsia="仿宋_GB2312"/>
          <w:b/>
          <w:bCs/>
          <w:sz w:val="32"/>
          <w:szCs w:val="32"/>
        </w:rPr>
        <w:t>202</w:t>
      </w:r>
      <w:r>
        <w:rPr>
          <w:rFonts w:hint="eastAsia" w:ascii="仿宋_GB2312" w:hAnsi="Times New Roman" w:eastAsia="仿宋_GB2312"/>
          <w:b/>
          <w:bCs/>
          <w:sz w:val="32"/>
          <w:szCs w:val="32"/>
          <w:lang w:val="en-US" w:eastAsia="zh-CN"/>
        </w:rPr>
        <w:t>4</w:t>
      </w:r>
      <w:r>
        <w:rPr>
          <w:rFonts w:hint="eastAsia" w:ascii="仿宋_GB2312" w:hAnsi="Times New Roman" w:eastAsia="仿宋_GB2312"/>
          <w:b/>
          <w:bCs/>
          <w:sz w:val="32"/>
          <w:szCs w:val="32"/>
        </w:rPr>
        <w:t>年</w:t>
      </w:r>
      <w:r>
        <w:rPr>
          <w:rFonts w:hint="eastAsia" w:ascii="仿宋_GB2312" w:hAnsi="Times New Roman" w:eastAsia="仿宋_GB2312"/>
          <w:b/>
          <w:bCs/>
          <w:sz w:val="32"/>
          <w:szCs w:val="32"/>
          <w:lang w:val="en-US" w:eastAsia="zh-CN"/>
        </w:rPr>
        <w:t>1</w:t>
      </w:r>
      <w:r>
        <w:rPr>
          <w:rFonts w:hint="eastAsia" w:ascii="仿宋_GB2312" w:hAnsi="Times New Roman" w:eastAsia="仿宋_GB2312"/>
          <w:b/>
          <w:bCs/>
          <w:sz w:val="32"/>
          <w:szCs w:val="32"/>
        </w:rPr>
        <w:t>月-2025年</w:t>
      </w:r>
      <w:r>
        <w:rPr>
          <w:rFonts w:hint="eastAsia" w:ascii="仿宋_GB2312" w:hAnsi="Times New Roman" w:eastAsia="仿宋_GB2312"/>
          <w:b/>
          <w:bCs/>
          <w:sz w:val="32"/>
          <w:szCs w:val="32"/>
          <w:lang w:val="en-US" w:eastAsia="zh-CN"/>
        </w:rPr>
        <w:t>5</w:t>
      </w:r>
      <w:r>
        <w:rPr>
          <w:rFonts w:hint="eastAsia" w:ascii="仿宋_GB2312" w:hAnsi="Times New Roman" w:eastAsia="仿宋_GB2312"/>
          <w:b/>
          <w:bCs/>
          <w:sz w:val="32"/>
          <w:szCs w:val="32"/>
        </w:rPr>
        <w:t>月福州市物流新订单指数图</w:t>
      </w:r>
      <w:bookmarkEnd w:id="4"/>
    </w:p>
    <w:bookmarkEnd w:id="5"/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ind w:firstLine="640" w:firstLineChars="200"/>
        <w:textAlignment w:val="auto"/>
        <w:rPr>
          <w:rFonts w:hint="eastAsia" w:ascii="仿宋_GB2312" w:hAnsi="仿宋" w:eastAsia="仿宋_GB2312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二、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物流业务总量有所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上升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，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运输业务略微下滑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，多式联运和运输代理业业务稳中有升。</w:t>
      </w:r>
      <w:r>
        <w:rPr>
          <w:rFonts w:hint="eastAsia" w:ascii="仿宋_GB2312" w:hAnsi="仿宋" w:eastAsia="仿宋_GB2312"/>
          <w:b w:val="0"/>
          <w:bCs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/>
          <w:b w:val="0"/>
          <w:bCs w:val="0"/>
          <w:sz w:val="32"/>
          <w:szCs w:val="32"/>
        </w:rPr>
        <w:t>月，福州市物流业务总量指数为5</w:t>
      </w:r>
      <w:r>
        <w:rPr>
          <w:rFonts w:hint="eastAsia" w:ascii="仿宋_GB2312" w:hAnsi="仿宋" w:eastAsia="仿宋_GB2312"/>
          <w:b w:val="0"/>
          <w:bCs w:val="0"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/>
          <w:b w:val="0"/>
          <w:bCs w:val="0"/>
          <w:sz w:val="32"/>
          <w:szCs w:val="32"/>
        </w:rPr>
        <w:t>.</w:t>
      </w:r>
      <w:r>
        <w:rPr>
          <w:rFonts w:hint="eastAsia" w:ascii="仿宋_GB2312" w:hAnsi="仿宋" w:eastAsia="仿宋_GB2312"/>
          <w:b w:val="0"/>
          <w:bCs w:val="0"/>
          <w:sz w:val="32"/>
          <w:szCs w:val="32"/>
          <w:lang w:val="en-US" w:eastAsia="zh-CN"/>
        </w:rPr>
        <w:t>8</w:t>
      </w:r>
      <w:r>
        <w:rPr>
          <w:rFonts w:hint="eastAsia" w:ascii="仿宋_GB2312" w:hAnsi="仿宋" w:eastAsia="仿宋_GB2312"/>
          <w:b w:val="0"/>
          <w:bCs w:val="0"/>
          <w:sz w:val="32"/>
          <w:szCs w:val="32"/>
        </w:rPr>
        <w:t>%，较上月</w:t>
      </w:r>
      <w:r>
        <w:rPr>
          <w:rFonts w:hint="eastAsia" w:ascii="仿宋_GB2312" w:hAnsi="仿宋" w:eastAsia="仿宋_GB2312"/>
          <w:b w:val="0"/>
          <w:bCs w:val="0"/>
          <w:sz w:val="32"/>
          <w:szCs w:val="32"/>
          <w:lang w:val="en-US" w:eastAsia="zh-CN"/>
        </w:rPr>
        <w:t>上</w:t>
      </w:r>
      <w:r>
        <w:rPr>
          <w:rFonts w:hint="eastAsia" w:ascii="仿宋_GB2312" w:hAnsi="仿宋" w:eastAsia="仿宋_GB2312"/>
          <w:b w:val="0"/>
          <w:bCs w:val="0"/>
          <w:color w:val="auto"/>
          <w:sz w:val="32"/>
          <w:szCs w:val="32"/>
          <w:lang w:val="en-US" w:eastAsia="zh-CN"/>
        </w:rPr>
        <w:t>升</w:t>
      </w:r>
      <w:r>
        <w:rPr>
          <w:rFonts w:hint="eastAsia" w:ascii="仿宋_GB2312" w:hAnsi="仿宋" w:eastAsia="仿宋_GB2312"/>
          <w:b w:val="0"/>
          <w:bCs w:val="0"/>
          <w:color w:val="auto"/>
          <w:sz w:val="32"/>
          <w:szCs w:val="32"/>
        </w:rPr>
        <w:t>1.</w:t>
      </w:r>
      <w:bookmarkStart w:id="6" w:name="OLE_LINK8"/>
      <w:r>
        <w:rPr>
          <w:rFonts w:hint="eastAsia" w:ascii="仿宋_GB2312" w:hAnsi="仿宋" w:eastAsia="仿宋_GB2312"/>
          <w:b w:val="0"/>
          <w:bCs w:val="0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_GB2312" w:hAnsi="仿宋" w:eastAsia="仿宋_GB2312"/>
          <w:b w:val="0"/>
          <w:bCs w:val="0"/>
          <w:color w:val="auto"/>
          <w:sz w:val="32"/>
          <w:szCs w:val="32"/>
        </w:rPr>
        <w:t>个百分点</w:t>
      </w:r>
      <w:bookmarkEnd w:id="6"/>
      <w:r>
        <w:rPr>
          <w:rFonts w:hint="eastAsia" w:ascii="仿宋_GB2312" w:hAnsi="仿宋" w:eastAsia="仿宋_GB2312"/>
          <w:b w:val="0"/>
          <w:bCs w:val="0"/>
          <w:color w:val="auto"/>
          <w:sz w:val="32"/>
          <w:szCs w:val="32"/>
        </w:rPr>
        <w:t>（见图3）。</w:t>
      </w:r>
      <w:r>
        <w:rPr>
          <w:rFonts w:hint="eastAsia" w:ascii="华文楷体" w:hAnsi="华文楷体" w:eastAsia="华文楷体" w:cs="华文楷体"/>
          <w:b w:val="0"/>
          <w:bCs/>
          <w:color w:val="auto"/>
          <w:sz w:val="32"/>
          <w:szCs w:val="32"/>
        </w:rPr>
        <w:t>分行业看，</w:t>
      </w:r>
      <w:r>
        <w:rPr>
          <w:rFonts w:hint="eastAsia" w:ascii="仿宋_GB2312" w:hAnsi="仿宋" w:eastAsia="仿宋_GB2312"/>
          <w:b w:val="0"/>
          <w:bCs w:val="0"/>
          <w:color w:val="auto"/>
          <w:sz w:val="32"/>
          <w:szCs w:val="32"/>
        </w:rPr>
        <w:t>主要是运输业业务总量指数为50.8%，较上月回落</w:t>
      </w:r>
      <w:r>
        <w:rPr>
          <w:rFonts w:hint="eastAsia" w:ascii="仿宋_GB2312" w:hAnsi="仿宋" w:eastAsia="仿宋_GB2312"/>
          <w:b w:val="0"/>
          <w:bCs w:val="0"/>
          <w:color w:val="auto"/>
          <w:sz w:val="32"/>
          <w:szCs w:val="32"/>
          <w:lang w:val="en-US" w:eastAsia="zh-CN"/>
        </w:rPr>
        <w:t>0.5</w:t>
      </w:r>
      <w:r>
        <w:rPr>
          <w:rFonts w:hint="eastAsia" w:ascii="仿宋_GB2312" w:hAnsi="仿宋" w:eastAsia="仿宋_GB2312"/>
          <w:b w:val="0"/>
          <w:bCs w:val="0"/>
          <w:color w:val="auto"/>
          <w:sz w:val="32"/>
          <w:szCs w:val="32"/>
        </w:rPr>
        <w:t>个百分点；多式联运和运输代理业业务总量指数为53.5%，</w:t>
      </w:r>
      <w:bookmarkStart w:id="7" w:name="OLE_LINK7"/>
      <w:r>
        <w:rPr>
          <w:rFonts w:hint="eastAsia" w:ascii="仿宋_GB2312" w:hAnsi="仿宋" w:eastAsia="仿宋_GB2312"/>
          <w:b w:val="0"/>
          <w:bCs w:val="0"/>
          <w:color w:val="auto"/>
          <w:sz w:val="32"/>
          <w:szCs w:val="32"/>
        </w:rPr>
        <w:t>较上月</w:t>
      </w:r>
      <w:r>
        <w:rPr>
          <w:rFonts w:hint="eastAsia" w:ascii="仿宋_GB2312" w:hAnsi="仿宋" w:eastAsia="仿宋_GB2312"/>
          <w:b w:val="0"/>
          <w:bCs w:val="0"/>
          <w:color w:val="auto"/>
          <w:sz w:val="32"/>
          <w:szCs w:val="32"/>
          <w:lang w:val="en-US" w:eastAsia="zh-CN"/>
        </w:rPr>
        <w:t>上升</w:t>
      </w:r>
      <w:r>
        <w:rPr>
          <w:rFonts w:hint="eastAsia" w:ascii="仿宋_GB2312" w:hAnsi="仿宋" w:eastAsia="仿宋_GB2312"/>
          <w:b w:val="0"/>
          <w:bCs w:val="0"/>
          <w:color w:val="auto"/>
          <w:sz w:val="32"/>
          <w:szCs w:val="32"/>
        </w:rPr>
        <w:t>2.</w:t>
      </w:r>
      <w:r>
        <w:rPr>
          <w:rFonts w:hint="eastAsia" w:ascii="仿宋_GB2312" w:hAnsi="仿宋" w:eastAsia="仿宋_GB2312"/>
          <w:b w:val="0"/>
          <w:bCs w:val="0"/>
          <w:color w:val="auto"/>
          <w:sz w:val="32"/>
          <w:szCs w:val="32"/>
          <w:lang w:val="en-US" w:eastAsia="zh-CN"/>
        </w:rPr>
        <w:t>7</w:t>
      </w:r>
      <w:r>
        <w:rPr>
          <w:rFonts w:hint="eastAsia" w:ascii="仿宋_GB2312" w:hAnsi="仿宋" w:eastAsia="仿宋_GB2312"/>
          <w:b w:val="0"/>
          <w:bCs w:val="0"/>
          <w:color w:val="auto"/>
          <w:sz w:val="32"/>
          <w:szCs w:val="32"/>
        </w:rPr>
        <w:t>个百分点</w:t>
      </w:r>
      <w:bookmarkEnd w:id="7"/>
      <w:r>
        <w:rPr>
          <w:rFonts w:hint="eastAsia" w:ascii="仿宋_GB2312" w:hAnsi="仿宋" w:eastAsia="仿宋_GB2312"/>
          <w:b w:val="0"/>
          <w:bCs w:val="0"/>
          <w:color w:val="auto"/>
          <w:sz w:val="32"/>
          <w:szCs w:val="32"/>
        </w:rPr>
        <w:t>；装卸搬运和仓储业业务总量指数为55.3%，较上月回</w:t>
      </w:r>
      <w:r>
        <w:rPr>
          <w:rFonts w:hint="eastAsia" w:ascii="仿宋_GB2312" w:hAnsi="仿宋" w:eastAsia="仿宋_GB2312"/>
          <w:b w:val="0"/>
          <w:bCs w:val="0"/>
          <w:color w:val="auto"/>
          <w:sz w:val="32"/>
          <w:szCs w:val="32"/>
          <w:lang w:eastAsia="zh-CN"/>
        </w:rPr>
        <w:t>落</w:t>
      </w:r>
      <w:r>
        <w:rPr>
          <w:rFonts w:hint="eastAsia" w:ascii="仿宋_GB2312" w:hAnsi="仿宋" w:eastAsia="仿宋_GB2312"/>
          <w:b w:val="0"/>
          <w:bCs w:val="0"/>
          <w:color w:val="auto"/>
          <w:sz w:val="32"/>
          <w:szCs w:val="32"/>
          <w:lang w:val="en-US" w:eastAsia="zh-CN"/>
        </w:rPr>
        <w:t>2.8</w:t>
      </w:r>
      <w:r>
        <w:rPr>
          <w:rFonts w:hint="eastAsia" w:ascii="仿宋_GB2312" w:hAnsi="仿宋" w:eastAsia="仿宋_GB2312"/>
          <w:b w:val="0"/>
          <w:bCs w:val="0"/>
          <w:color w:val="auto"/>
          <w:sz w:val="32"/>
          <w:szCs w:val="32"/>
        </w:rPr>
        <w:t>个百分点。</w:t>
      </w:r>
      <w:r>
        <w:rPr>
          <w:rFonts w:hint="eastAsia" w:ascii="华文楷体" w:hAnsi="华文楷体" w:eastAsia="华文楷体" w:cs="华文楷体"/>
          <w:b w:val="0"/>
          <w:bCs/>
          <w:color w:val="auto"/>
          <w:sz w:val="32"/>
          <w:szCs w:val="32"/>
        </w:rPr>
        <w:t>分A级企业看，</w:t>
      </w:r>
      <w:r>
        <w:rPr>
          <w:rFonts w:hint="eastAsia" w:ascii="仿宋_GB2312" w:hAnsi="仿宋" w:eastAsia="仿宋_GB2312"/>
          <w:b w:val="0"/>
          <w:bCs w:val="0"/>
          <w:color w:val="auto"/>
          <w:sz w:val="32"/>
          <w:szCs w:val="32"/>
        </w:rPr>
        <w:t>主要是5A级企业业务总量指数</w:t>
      </w:r>
      <w:r>
        <w:rPr>
          <w:rFonts w:hint="eastAsia" w:ascii="仿宋_GB2312" w:hAnsi="仿宋" w:eastAsia="仿宋_GB2312"/>
          <w:b w:val="0"/>
          <w:bCs w:val="0"/>
          <w:color w:val="auto"/>
          <w:kern w:val="2"/>
          <w:sz w:val="32"/>
          <w:szCs w:val="32"/>
        </w:rPr>
        <w:t>为</w:t>
      </w:r>
      <w:r>
        <w:rPr>
          <w:rFonts w:hint="eastAsia" w:ascii="仿宋_GB2312" w:hAnsi="仿宋" w:eastAsia="仿宋_GB2312"/>
          <w:b w:val="0"/>
          <w:bCs w:val="0"/>
          <w:color w:val="auto"/>
          <w:sz w:val="32"/>
          <w:szCs w:val="32"/>
        </w:rPr>
        <w:t>51.3%，较上</w:t>
      </w:r>
      <w:r>
        <w:rPr>
          <w:rFonts w:hint="eastAsia" w:ascii="仿宋_GB2312" w:hAnsi="仿宋" w:eastAsia="仿宋_GB2312"/>
          <w:b w:val="0"/>
          <w:bCs w:val="0"/>
          <w:color w:val="auto"/>
          <w:sz w:val="32"/>
          <w:szCs w:val="32"/>
          <w:lang w:val="en-US" w:eastAsia="zh-CN"/>
        </w:rPr>
        <w:t>月上升0</w:t>
      </w:r>
      <w:r>
        <w:rPr>
          <w:rFonts w:hint="eastAsia" w:ascii="仿宋_GB2312" w:hAnsi="仿宋" w:eastAsia="仿宋_GB2312"/>
          <w:b w:val="0"/>
          <w:bCs w:val="0"/>
          <w:color w:val="auto"/>
          <w:sz w:val="32"/>
          <w:szCs w:val="32"/>
        </w:rPr>
        <w:t>.5个百分点；4A级企业业务总量指数</w:t>
      </w:r>
      <w:r>
        <w:rPr>
          <w:rFonts w:hint="eastAsia" w:ascii="仿宋_GB2312" w:hAnsi="仿宋" w:eastAsia="仿宋_GB2312"/>
          <w:b w:val="0"/>
          <w:bCs w:val="0"/>
          <w:color w:val="auto"/>
          <w:kern w:val="2"/>
          <w:sz w:val="32"/>
          <w:szCs w:val="32"/>
        </w:rPr>
        <w:t>为</w:t>
      </w:r>
      <w:r>
        <w:rPr>
          <w:rFonts w:hint="eastAsia" w:ascii="仿宋_GB2312" w:hAnsi="仿宋" w:eastAsia="仿宋_GB2312"/>
          <w:b w:val="0"/>
          <w:bCs w:val="0"/>
          <w:color w:val="auto"/>
          <w:sz w:val="32"/>
          <w:szCs w:val="32"/>
        </w:rPr>
        <w:t>53.9%，较上月回落</w:t>
      </w:r>
      <w:r>
        <w:rPr>
          <w:rFonts w:hint="eastAsia" w:ascii="仿宋_GB2312" w:hAnsi="仿宋" w:eastAsia="仿宋_GB2312"/>
          <w:b w:val="0"/>
          <w:bCs w:val="0"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/>
          <w:b w:val="0"/>
          <w:bCs w:val="0"/>
          <w:color w:val="auto"/>
          <w:sz w:val="32"/>
          <w:szCs w:val="32"/>
        </w:rPr>
        <w:t>.</w:t>
      </w:r>
      <w:r>
        <w:rPr>
          <w:rFonts w:hint="eastAsia" w:ascii="仿宋_GB2312" w:hAnsi="仿宋" w:eastAsia="仿宋_GB2312"/>
          <w:b w:val="0"/>
          <w:bCs w:val="0"/>
          <w:color w:val="auto"/>
          <w:sz w:val="32"/>
          <w:szCs w:val="32"/>
          <w:lang w:val="en-US" w:eastAsia="zh-CN"/>
        </w:rPr>
        <w:t>7</w:t>
      </w:r>
      <w:r>
        <w:rPr>
          <w:rFonts w:hint="eastAsia" w:ascii="仿宋_GB2312" w:hAnsi="仿宋" w:eastAsia="仿宋_GB2312"/>
          <w:b w:val="0"/>
          <w:bCs w:val="0"/>
          <w:color w:val="auto"/>
          <w:sz w:val="32"/>
          <w:szCs w:val="32"/>
        </w:rPr>
        <w:t>个百分点；3A级企业业务总量指数</w:t>
      </w:r>
      <w:r>
        <w:rPr>
          <w:rFonts w:hint="eastAsia" w:ascii="仿宋_GB2312" w:hAnsi="仿宋" w:eastAsia="仿宋_GB2312"/>
          <w:b w:val="0"/>
          <w:bCs w:val="0"/>
          <w:color w:val="auto"/>
          <w:kern w:val="2"/>
          <w:sz w:val="32"/>
          <w:szCs w:val="32"/>
        </w:rPr>
        <w:t>为</w:t>
      </w:r>
      <w:r>
        <w:rPr>
          <w:rFonts w:hint="eastAsia" w:ascii="仿宋_GB2312" w:hAnsi="仿宋" w:eastAsia="仿宋_GB2312"/>
          <w:b w:val="0"/>
          <w:bCs w:val="0"/>
          <w:color w:val="auto"/>
          <w:sz w:val="32"/>
          <w:szCs w:val="32"/>
        </w:rPr>
        <w:t>49.6%，较上月回落</w:t>
      </w:r>
      <w:r>
        <w:rPr>
          <w:rFonts w:hint="eastAsia" w:ascii="仿宋_GB2312" w:hAnsi="仿宋" w:eastAsia="仿宋_GB2312"/>
          <w:b w:val="0"/>
          <w:bCs w:val="0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_GB2312" w:hAnsi="仿宋" w:eastAsia="仿宋_GB2312"/>
          <w:b w:val="0"/>
          <w:bCs w:val="0"/>
          <w:color w:val="auto"/>
          <w:sz w:val="32"/>
          <w:szCs w:val="32"/>
        </w:rPr>
        <w:t>.</w:t>
      </w:r>
      <w:r>
        <w:rPr>
          <w:rFonts w:hint="eastAsia" w:ascii="仿宋_GB2312" w:hAnsi="仿宋" w:eastAsia="仿宋_GB2312"/>
          <w:b w:val="0"/>
          <w:bCs w:val="0"/>
          <w:color w:val="auto"/>
          <w:sz w:val="32"/>
          <w:szCs w:val="32"/>
          <w:lang w:val="en-US" w:eastAsia="zh-CN"/>
        </w:rPr>
        <w:t>9</w:t>
      </w:r>
      <w:r>
        <w:rPr>
          <w:rFonts w:hint="eastAsia" w:ascii="仿宋_GB2312" w:hAnsi="仿宋" w:eastAsia="仿宋_GB2312"/>
          <w:b w:val="0"/>
          <w:bCs w:val="0"/>
          <w:color w:val="auto"/>
          <w:sz w:val="32"/>
          <w:szCs w:val="32"/>
        </w:rPr>
        <w:t>个百分点。</w:t>
      </w:r>
    </w:p>
    <w:p>
      <w:pPr>
        <w:numPr>
          <w:ilvl w:val="0"/>
          <w:numId w:val="0"/>
        </w:numPr>
        <w:rPr>
          <w:rFonts w:hint="eastAsia" w:ascii="仿宋_GB2312" w:hAnsi="仿宋" w:eastAsia="仿宋_GB2312"/>
          <w:b w:val="0"/>
          <w:bCs w:val="0"/>
          <w:sz w:val="32"/>
          <w:szCs w:val="32"/>
        </w:rPr>
      </w:pPr>
      <w:r>
        <w:drawing>
          <wp:inline distT="0" distB="0" distL="114300" distR="114300">
            <wp:extent cx="5578475" cy="2659380"/>
            <wp:effectExtent l="5080" t="4445" r="17145" b="22225"/>
            <wp:docPr id="9" name="图表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>
      <w:pPr>
        <w:widowControl/>
        <w:spacing w:line="560" w:lineRule="exact"/>
        <w:jc w:val="center"/>
        <w:rPr>
          <w:rFonts w:hint="eastAsia" w:ascii="仿宋_GB2312" w:hAnsi="Times New Roman" w:eastAsia="仿宋_GB2312"/>
          <w:b/>
          <w:bCs/>
          <w:sz w:val="32"/>
          <w:szCs w:val="32"/>
        </w:rPr>
      </w:pPr>
      <w:bookmarkStart w:id="8" w:name="OLE_LINK9"/>
      <w:r>
        <w:rPr>
          <w:rFonts w:hint="eastAsia" w:ascii="仿宋_GB2312" w:hAnsi="Times New Roman" w:eastAsia="仿宋_GB2312"/>
          <w:b/>
          <w:bCs/>
          <w:sz w:val="32"/>
          <w:szCs w:val="32"/>
        </w:rPr>
        <w:t xml:space="preserve">图3 </w:t>
      </w:r>
      <w:r>
        <w:rPr>
          <w:rFonts w:hint="eastAsia" w:ascii="仿宋_GB2312" w:hAnsi="Times New Roman" w:eastAsia="仿宋_GB2312"/>
          <w:b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Times New Roman" w:eastAsia="仿宋_GB2312"/>
          <w:b/>
          <w:bCs/>
          <w:sz w:val="32"/>
          <w:szCs w:val="32"/>
        </w:rPr>
        <w:t xml:space="preserve"> 2024年</w:t>
      </w:r>
      <w:r>
        <w:rPr>
          <w:rFonts w:hint="eastAsia" w:ascii="仿宋_GB2312" w:hAnsi="Times New Roman" w:eastAsia="仿宋_GB2312"/>
          <w:b/>
          <w:bCs/>
          <w:sz w:val="32"/>
          <w:szCs w:val="32"/>
          <w:lang w:val="en-US" w:eastAsia="zh-CN"/>
        </w:rPr>
        <w:t>1</w:t>
      </w:r>
      <w:r>
        <w:rPr>
          <w:rFonts w:hint="eastAsia" w:ascii="仿宋_GB2312" w:hAnsi="Times New Roman" w:eastAsia="仿宋_GB2312"/>
          <w:b/>
          <w:bCs/>
          <w:sz w:val="32"/>
          <w:szCs w:val="32"/>
        </w:rPr>
        <w:t>月-2025年</w:t>
      </w:r>
      <w:r>
        <w:rPr>
          <w:rFonts w:hint="eastAsia" w:ascii="仿宋_GB2312" w:hAnsi="Times New Roman" w:eastAsia="仿宋_GB2312"/>
          <w:b/>
          <w:bCs/>
          <w:sz w:val="32"/>
          <w:szCs w:val="32"/>
          <w:lang w:val="en-US" w:eastAsia="zh-CN"/>
        </w:rPr>
        <w:t>5</w:t>
      </w:r>
      <w:r>
        <w:rPr>
          <w:rFonts w:hint="eastAsia" w:ascii="仿宋_GB2312" w:hAnsi="Times New Roman" w:eastAsia="仿宋_GB2312"/>
          <w:b/>
          <w:bCs/>
          <w:sz w:val="32"/>
          <w:szCs w:val="32"/>
        </w:rPr>
        <w:t>月福州市物流业务总量指数图</w:t>
      </w:r>
      <w:bookmarkEnd w:id="8"/>
    </w:p>
    <w:p>
      <w:pPr>
        <w:widowControl/>
        <w:spacing w:line="560" w:lineRule="exact"/>
        <w:ind w:firstLine="640" w:firstLineChars="200"/>
        <w:jc w:val="left"/>
        <w:rPr>
          <w:rFonts w:hint="eastAsia" w:ascii="仿宋_GB2312" w:hAnsi="Times New Roman" w:eastAsia="仿宋_GB2312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三、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物流就业状况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有所回落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。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/>
          <w:sz w:val="32"/>
          <w:szCs w:val="32"/>
        </w:rPr>
        <w:t>月，福州市物流从业人员指数为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52.6</w:t>
      </w:r>
      <w:r>
        <w:rPr>
          <w:rFonts w:hint="eastAsia" w:ascii="仿宋_GB2312" w:hAnsi="仿宋" w:eastAsia="仿宋_GB2312"/>
          <w:sz w:val="32"/>
          <w:szCs w:val="32"/>
        </w:rPr>
        <w:t>%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，</w:t>
      </w:r>
      <w:r>
        <w:rPr>
          <w:rFonts w:hint="eastAsia" w:ascii="仿宋_GB2312" w:hAnsi="仿宋" w:eastAsia="仿宋_GB2312"/>
          <w:sz w:val="32"/>
          <w:szCs w:val="32"/>
        </w:rPr>
        <w:t>较上月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回落1.7</w:t>
      </w:r>
      <w:r>
        <w:rPr>
          <w:rFonts w:hint="eastAsia" w:ascii="仿宋_GB2312" w:hAnsi="仿宋" w:eastAsia="仿宋_GB2312"/>
          <w:sz w:val="32"/>
          <w:szCs w:val="32"/>
        </w:rPr>
        <w:t>个百分点。在社会物流降本增效、物流业加快数字化、智能化转型阶段，物流业对从业人员的需求也呈现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替代性特征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>
      <w:pPr>
        <w:widowControl/>
        <w:spacing w:line="560" w:lineRule="exact"/>
        <w:ind w:firstLine="640" w:firstLineChars="200"/>
        <w:jc w:val="left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四、</w:t>
      </w:r>
      <w:bookmarkStart w:id="9" w:name="OLE_LINK11"/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资金周转</w:t>
      </w:r>
      <w:bookmarkEnd w:id="9"/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率指数有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所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上升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。</w:t>
      </w:r>
      <w:r>
        <w:rPr>
          <w:rFonts w:hint="eastAsia" w:ascii="仿宋_GB2312" w:hAnsi="Times New Roman" w:eastAsia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Times New Roman" w:eastAsia="仿宋_GB2312"/>
          <w:color w:val="auto"/>
          <w:sz w:val="32"/>
          <w:szCs w:val="32"/>
        </w:rPr>
        <w:t>月，福</w:t>
      </w:r>
      <w:r>
        <w:rPr>
          <w:rFonts w:hint="eastAsia" w:ascii="仿宋_GB2312" w:hAnsi="Times New Roman" w:eastAsia="仿宋_GB2312"/>
          <w:sz w:val="32"/>
          <w:szCs w:val="32"/>
        </w:rPr>
        <w:t>州市物流业资金周转率指数为5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2.0</w:t>
      </w:r>
      <w:r>
        <w:rPr>
          <w:rFonts w:hint="eastAsia" w:ascii="仿宋_GB2312" w:hAnsi="Times New Roman" w:eastAsia="仿宋_GB2312"/>
          <w:sz w:val="32"/>
          <w:szCs w:val="32"/>
        </w:rPr>
        <w:t>%，较上月</w:t>
      </w:r>
      <w:r>
        <w:rPr>
          <w:rFonts w:hint="eastAsia" w:ascii="仿宋_GB2312" w:hAnsi="Times New Roman" w:eastAsia="仿宋_GB2312"/>
          <w:sz w:val="32"/>
          <w:szCs w:val="32"/>
          <w:lang w:eastAsia="zh-CN"/>
        </w:rPr>
        <w:t>上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升</w:t>
      </w:r>
      <w:r>
        <w:rPr>
          <w:rFonts w:hint="eastAsia" w:ascii="仿宋_GB2312" w:hAnsi="Times New Roman" w:eastAsia="仿宋_GB2312"/>
          <w:sz w:val="32"/>
          <w:szCs w:val="32"/>
        </w:rPr>
        <w:t>0.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Times New Roman" w:eastAsia="仿宋_GB2312"/>
          <w:sz w:val="32"/>
          <w:szCs w:val="32"/>
        </w:rPr>
        <w:t>个百分点，</w:t>
      </w:r>
      <w:r>
        <w:rPr>
          <w:rFonts w:hint="eastAsia" w:ascii="仿宋_GB2312" w:hAnsi="等线" w:eastAsia="仿宋_GB2312"/>
          <w:sz w:val="32"/>
          <w:szCs w:val="32"/>
        </w:rPr>
        <w:t>处于扩张景气区间</w:t>
      </w:r>
      <w:r>
        <w:rPr>
          <w:rFonts w:hint="eastAsia" w:ascii="仿宋_GB2312" w:hAnsi="等线" w:eastAsia="仿宋_GB2312"/>
          <w:spacing w:val="-2"/>
          <w:sz w:val="32"/>
          <w:szCs w:val="32"/>
        </w:rPr>
        <w:t>，</w:t>
      </w:r>
      <w:r>
        <w:rPr>
          <w:rFonts w:hint="eastAsia" w:ascii="仿宋_GB2312" w:eastAsia="仿宋_GB2312"/>
          <w:sz w:val="32"/>
          <w:szCs w:val="32"/>
          <w:shd w:val="clear" w:color="auto" w:fill="FFFFFF"/>
        </w:rPr>
        <w:t>企业资金周转保持正常</w:t>
      </w:r>
      <w:r>
        <w:rPr>
          <w:rFonts w:hint="eastAsia" w:ascii="仿宋_GB2312" w:hAnsi="Times New Roman" w:eastAsia="仿宋_GB2312"/>
          <w:sz w:val="32"/>
          <w:szCs w:val="32"/>
        </w:rPr>
        <w:t>。</w:t>
      </w:r>
    </w:p>
    <w:p>
      <w:pPr>
        <w:widowControl/>
        <w:spacing w:line="560" w:lineRule="exact"/>
        <w:ind w:firstLine="640" w:firstLineChars="200"/>
        <w:rPr>
          <w:rStyle w:val="7"/>
          <w:rFonts w:ascii="仿宋_GB2312" w:hAnsi="仿宋" w:eastAsia="仿宋_GB2312"/>
          <w:sz w:val="32"/>
          <w:szCs w:val="32"/>
        </w:rPr>
      </w:pPr>
      <w:r>
        <w:rPr>
          <w:rStyle w:val="7"/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五、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物流服务价格指数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略有下滑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，</w:t>
      </w:r>
      <w:r>
        <w:rPr>
          <w:rStyle w:val="7"/>
          <w:rFonts w:hint="eastAsia" w:ascii="黑体" w:hAnsi="黑体" w:eastAsia="黑体" w:cs="黑体"/>
          <w:b w:val="0"/>
          <w:bCs w:val="0"/>
          <w:sz w:val="32"/>
          <w:szCs w:val="32"/>
        </w:rPr>
        <w:t>主营业务成本指数</w:t>
      </w:r>
      <w:r>
        <w:rPr>
          <w:rStyle w:val="7"/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有所回落</w:t>
      </w:r>
      <w:r>
        <w:rPr>
          <w:rStyle w:val="7"/>
          <w:rFonts w:hint="eastAsia" w:ascii="黑体" w:hAnsi="黑体" w:eastAsia="黑体" w:cs="黑体"/>
          <w:b w:val="0"/>
          <w:bCs w:val="0"/>
          <w:sz w:val="32"/>
          <w:szCs w:val="32"/>
        </w:rPr>
        <w:t>，主营业务利润指数</w:t>
      </w:r>
      <w:r>
        <w:rPr>
          <w:rStyle w:val="7"/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稳步增长，</w:t>
      </w:r>
      <w:r>
        <w:rPr>
          <w:rStyle w:val="7"/>
          <w:rFonts w:hint="eastAsia" w:ascii="黑体" w:hAnsi="黑体" w:eastAsia="黑体" w:cs="黑体"/>
          <w:b w:val="0"/>
          <w:bCs w:val="0"/>
          <w:sz w:val="32"/>
          <w:szCs w:val="32"/>
        </w:rPr>
        <w:t>物流企业盈利状况有</w:t>
      </w:r>
      <w:r>
        <w:rPr>
          <w:rStyle w:val="7"/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所</w:t>
      </w:r>
      <w:r>
        <w:rPr>
          <w:rStyle w:val="7"/>
          <w:rFonts w:hint="eastAsia" w:ascii="黑体" w:hAnsi="黑体" w:eastAsia="黑体" w:cs="黑体"/>
          <w:b w:val="0"/>
          <w:bCs w:val="0"/>
          <w:sz w:val="32"/>
          <w:szCs w:val="32"/>
        </w:rPr>
        <w:t>改善。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/>
          <w:sz w:val="32"/>
          <w:szCs w:val="32"/>
        </w:rPr>
        <w:t>月，福州市物流主营业务成本指数为5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.8%，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较</w:t>
      </w:r>
      <w:r>
        <w:rPr>
          <w:rFonts w:hint="eastAsia" w:ascii="仿宋_GB2312" w:hAnsi="仿宋" w:eastAsia="仿宋_GB2312"/>
          <w:sz w:val="32"/>
          <w:szCs w:val="32"/>
        </w:rPr>
        <w:t>上月回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落</w:t>
      </w:r>
      <w:r>
        <w:rPr>
          <w:rFonts w:hint="eastAsia" w:ascii="仿宋_GB2312" w:hAnsi="仿宋" w:eastAsia="仿宋_GB2312"/>
          <w:sz w:val="32"/>
          <w:szCs w:val="32"/>
        </w:rPr>
        <w:t>1.0个百分点；主营业务利润指数为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45</w:t>
      </w:r>
      <w:r>
        <w:rPr>
          <w:rFonts w:hint="eastAsia" w:ascii="仿宋_GB2312" w:hAnsi="仿宋" w:eastAsia="仿宋_GB2312"/>
          <w:sz w:val="32"/>
          <w:szCs w:val="32"/>
        </w:rPr>
        <w:t>.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/>
          <w:sz w:val="32"/>
          <w:szCs w:val="32"/>
        </w:rPr>
        <w:t>%，较上月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上升1.3</w:t>
      </w:r>
      <w:r>
        <w:rPr>
          <w:rFonts w:hint="eastAsia" w:ascii="仿宋_GB2312" w:hAnsi="仿宋" w:eastAsia="仿宋_GB2312"/>
          <w:sz w:val="32"/>
          <w:szCs w:val="32"/>
        </w:rPr>
        <w:t>个百分点。主营业务成本指数与主营业务利润指数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呈现此消彼长</w:t>
      </w:r>
      <w:r>
        <w:rPr>
          <w:rFonts w:hint="eastAsia" w:ascii="仿宋_GB2312" w:hAnsi="仿宋" w:eastAsia="仿宋_GB2312"/>
          <w:sz w:val="32"/>
          <w:szCs w:val="32"/>
        </w:rPr>
        <w:t>，物流企业盈利状况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有所改善</w:t>
      </w:r>
      <w:r>
        <w:rPr>
          <w:rFonts w:hint="eastAsia" w:ascii="仿宋_GB2312" w:hAnsi="仿宋" w:eastAsia="仿宋_GB2312"/>
          <w:sz w:val="32"/>
          <w:szCs w:val="32"/>
        </w:rPr>
        <w:t>，物流降本增效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成效明显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国标黑体" w:hAnsi="国标黑体" w:eastAsia="国标黑体" w:cs="国标黑体"/>
          <w:b w:val="0"/>
          <w:bCs w:val="0"/>
          <w:sz w:val="32"/>
          <w:szCs w:val="32"/>
          <w:lang w:eastAsia="zh-CN"/>
        </w:rPr>
        <w:t>六、</w:t>
      </w:r>
      <w:r>
        <w:rPr>
          <w:rFonts w:hint="eastAsia" w:ascii="国标黑体" w:hAnsi="国标黑体" w:eastAsia="国标黑体" w:cs="国标黑体"/>
          <w:b w:val="0"/>
          <w:bCs w:val="0"/>
          <w:sz w:val="32"/>
          <w:szCs w:val="32"/>
        </w:rPr>
        <w:t>流通环节周转</w:t>
      </w:r>
      <w:r>
        <w:rPr>
          <w:rFonts w:hint="eastAsia" w:ascii="国标黑体" w:hAnsi="国标黑体" w:eastAsia="国标黑体" w:cs="国标黑体"/>
          <w:b w:val="0"/>
          <w:bCs w:val="0"/>
          <w:sz w:val="32"/>
          <w:szCs w:val="32"/>
          <w:lang w:val="en-US" w:eastAsia="zh-CN"/>
        </w:rPr>
        <w:t>加快</w:t>
      </w:r>
      <w:r>
        <w:rPr>
          <w:rFonts w:hint="eastAsia" w:ascii="国标黑体" w:hAnsi="国标黑体" w:eastAsia="国标黑体" w:cs="国标黑体"/>
          <w:b w:val="0"/>
          <w:bCs w:val="0"/>
          <w:sz w:val="32"/>
          <w:szCs w:val="32"/>
        </w:rPr>
        <w:t>，库存量有所</w:t>
      </w:r>
      <w:r>
        <w:rPr>
          <w:rFonts w:hint="eastAsia" w:ascii="国标黑体" w:hAnsi="国标黑体" w:eastAsia="国标黑体" w:cs="国标黑体"/>
          <w:b w:val="0"/>
          <w:bCs w:val="0"/>
          <w:sz w:val="32"/>
          <w:szCs w:val="32"/>
          <w:lang w:val="en-US" w:eastAsia="zh-CN"/>
        </w:rPr>
        <w:t>回落</w:t>
      </w:r>
      <w:r>
        <w:rPr>
          <w:rFonts w:hint="eastAsia" w:ascii="国标黑体" w:hAnsi="国标黑体" w:eastAsia="国标黑体" w:cs="国标黑体"/>
          <w:b w:val="0"/>
          <w:bCs w:val="0"/>
          <w:sz w:val="32"/>
          <w:szCs w:val="32"/>
        </w:rPr>
        <w:t>。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/>
          <w:sz w:val="32"/>
          <w:szCs w:val="32"/>
        </w:rPr>
        <w:t>月，福州市物流</w:t>
      </w:r>
      <w:r>
        <w:rPr>
          <w:rFonts w:hint="eastAsia" w:ascii="仿宋_GB2312" w:hAnsi="Times New Roman" w:eastAsia="仿宋_GB2312"/>
          <w:sz w:val="32"/>
          <w:szCs w:val="32"/>
        </w:rPr>
        <w:t>平均库存量指数为5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Times New Roman" w:eastAsia="仿宋_GB2312"/>
          <w:sz w:val="32"/>
          <w:szCs w:val="32"/>
        </w:rPr>
        <w:t>.3%，较上月</w:t>
      </w:r>
      <w:r>
        <w:rPr>
          <w:rFonts w:hint="eastAsia" w:ascii="仿宋_GB2312" w:hAnsi="仿宋" w:eastAsia="仿宋_GB2312"/>
          <w:sz w:val="32"/>
          <w:szCs w:val="32"/>
        </w:rPr>
        <w:t>回落1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.0</w:t>
      </w:r>
      <w:r>
        <w:rPr>
          <w:rFonts w:hint="eastAsia" w:ascii="仿宋_GB2312" w:hAnsi="Times New Roman" w:eastAsia="仿宋_GB2312"/>
          <w:sz w:val="32"/>
          <w:szCs w:val="32"/>
        </w:rPr>
        <w:t>个百分点，</w:t>
      </w:r>
      <w:r>
        <w:rPr>
          <w:rFonts w:hint="eastAsia" w:ascii="仿宋_GB2312" w:hAnsi="仿宋" w:eastAsia="仿宋_GB2312"/>
          <w:sz w:val="32"/>
          <w:szCs w:val="32"/>
        </w:rPr>
        <w:t>库存周转次数指数为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50</w:t>
      </w:r>
      <w:r>
        <w:rPr>
          <w:rFonts w:hint="eastAsia" w:ascii="仿宋_GB2312" w:hAnsi="仿宋" w:eastAsia="仿宋_GB2312"/>
          <w:sz w:val="32"/>
          <w:szCs w:val="32"/>
        </w:rPr>
        <w:t>.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" w:eastAsia="仿宋_GB2312"/>
          <w:sz w:val="32"/>
          <w:szCs w:val="32"/>
        </w:rPr>
        <w:t>%，较上月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上升6</w:t>
      </w:r>
      <w:r>
        <w:rPr>
          <w:rFonts w:hint="eastAsia" w:ascii="仿宋_GB2312" w:hAnsi="仿宋" w:eastAsia="仿宋_GB2312"/>
          <w:sz w:val="32"/>
          <w:szCs w:val="32"/>
        </w:rPr>
        <w:t>.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" w:eastAsia="仿宋_GB2312"/>
          <w:sz w:val="32"/>
          <w:szCs w:val="32"/>
        </w:rPr>
        <w:t>个百分点，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说明</w:t>
      </w:r>
      <w:r>
        <w:rPr>
          <w:rFonts w:hint="eastAsia" w:ascii="仿宋_GB2312" w:hAnsi="Times New Roman" w:eastAsia="仿宋_GB2312"/>
          <w:sz w:val="32"/>
          <w:szCs w:val="32"/>
        </w:rPr>
        <w:t>影响供应链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物资</w:t>
      </w:r>
      <w:r>
        <w:rPr>
          <w:rFonts w:hint="eastAsia" w:ascii="仿宋_GB2312" w:hAnsi="Times New Roman" w:eastAsia="仿宋_GB2312"/>
          <w:sz w:val="32"/>
          <w:szCs w:val="32"/>
        </w:rPr>
        <w:t>流通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速度逐步加快</w:t>
      </w:r>
      <w:r>
        <w:rPr>
          <w:rFonts w:hint="eastAsia" w:ascii="仿宋_GB2312" w:hAnsi="Times New Roman" w:eastAsia="仿宋_GB2312"/>
          <w:sz w:val="32"/>
          <w:szCs w:val="32"/>
        </w:rPr>
        <w:t>。</w:t>
      </w:r>
    </w:p>
    <w:p>
      <w:pPr>
        <w:widowControl/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从后期走势看，福州市物流业务活动预期指数有所回落，但仍保持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51.5</w:t>
      </w:r>
      <w:r>
        <w:rPr>
          <w:rFonts w:hint="eastAsia" w:ascii="仿宋_GB2312" w:hAnsi="仿宋" w:eastAsia="仿宋_GB2312"/>
          <w:sz w:val="32"/>
          <w:szCs w:val="32"/>
        </w:rPr>
        <w:t>%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的</w:t>
      </w:r>
      <w:r>
        <w:rPr>
          <w:rFonts w:hint="eastAsia" w:ascii="仿宋" w:hAnsi="仿宋" w:eastAsia="仿宋"/>
          <w:bCs/>
          <w:sz w:val="32"/>
          <w:szCs w:val="32"/>
        </w:rPr>
        <w:t>景气区间，</w:t>
      </w:r>
      <w:r>
        <w:rPr>
          <w:rFonts w:hint="eastAsia" w:ascii="仿宋_GB2312" w:hAnsi="Times New Roman" w:eastAsia="仿宋_GB2312"/>
          <w:sz w:val="32"/>
          <w:szCs w:val="32"/>
        </w:rPr>
        <w:t>表明物流</w:t>
      </w:r>
      <w:r>
        <w:rPr>
          <w:rFonts w:hint="eastAsia" w:ascii="仿宋_GB2312" w:hAnsi="宋体" w:eastAsia="仿宋_GB2312"/>
          <w:bCs/>
          <w:sz w:val="32"/>
          <w:szCs w:val="32"/>
        </w:rPr>
        <w:t>企业对市场预期继续保持乐观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/>
    <w:sectPr>
      <w:footerReference r:id="rId5" w:type="default"/>
      <w:pgSz w:w="11906" w:h="16838"/>
      <w:pgMar w:top="2041" w:right="1474" w:bottom="2041" w:left="1587" w:header="850" w:footer="1247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舒体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国标黑体">
    <w:altName w:val="方正黑体_GBK"/>
    <w:panose1 w:val="02000500000000000000"/>
    <w:charset w:val="86"/>
    <w:family w:val="auto"/>
    <w:pitch w:val="default"/>
    <w:sig w:usb0="00000000" w:usb1="0000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false"/>
  <w:bordersDoNotSurroundFooter w:val="false"/>
  <w:revisionView w:markup="0"/>
  <w:trackRevisions w:val="tru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Q3YzhhOWFiYjc4MjlmNGQxOWZkZjI3OGI0OGQwYmQifQ=="/>
    <w:docVar w:name="KSO_WPS_MARK_KEY" w:val="d0668e1b-bff0-427e-962d-af9d2b431d68"/>
  </w:docVars>
  <w:rsids>
    <w:rsidRoot w:val="0D6C5EFD"/>
    <w:rsid w:val="08F5187C"/>
    <w:rsid w:val="0C457EA5"/>
    <w:rsid w:val="0D6C5EFD"/>
    <w:rsid w:val="0E2C4896"/>
    <w:rsid w:val="16DA0614"/>
    <w:rsid w:val="1C954CD6"/>
    <w:rsid w:val="1CEE431C"/>
    <w:rsid w:val="2F8D311D"/>
    <w:rsid w:val="3923517F"/>
    <w:rsid w:val="3C6E55FB"/>
    <w:rsid w:val="458D460F"/>
    <w:rsid w:val="47F768F3"/>
    <w:rsid w:val="4AF30348"/>
    <w:rsid w:val="4CD7378D"/>
    <w:rsid w:val="587D4DD8"/>
    <w:rsid w:val="597204CD"/>
    <w:rsid w:val="5DDF315C"/>
    <w:rsid w:val="71F25CB4"/>
    <w:rsid w:val="74E66770"/>
    <w:rsid w:val="7ABBFEE9"/>
    <w:rsid w:val="7D6516EC"/>
    <w:rsid w:val="7FAF4202"/>
    <w:rsid w:val="7FFF6C1A"/>
    <w:rsid w:val="9D66BA1F"/>
    <w:rsid w:val="ECEFCD2B"/>
    <w:rsid w:val="F7F3C72B"/>
    <w:rsid w:val="FB6DD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90" w:lineRule="atLeast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9"/>
    <w:pPr>
      <w:widowControl/>
      <w:spacing w:before="100" w:beforeAutospacing="1" w:after="100" w:afterAutospacing="1" w:line="240" w:lineRule="auto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4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styleId="7">
    <w:name w:val="Strong"/>
    <w:qFormat/>
    <w:uiPriority w:val="22"/>
    <w:rPr>
      <w:rFonts w:cs="Times New Roman"/>
      <w:b/>
      <w:bCs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hart" Target="charts/chart3.xml"/><Relationship Id="rId8" Type="http://schemas.openxmlformats.org/officeDocument/2006/relationships/chart" Target="charts/chart2.xml"/><Relationship Id="rId7" Type="http://schemas.openxmlformats.org/officeDocument/2006/relationships/chart" Target="charts/chart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3" Type="http://schemas.microsoft.com/office/2011/relationships/chartColorStyle" Target="colors1.xml"/><Relationship Id="rId2" Type="http://schemas.microsoft.com/office/2011/relationships/chartStyle" Target="style1.xml"/><Relationship Id="rId1" Type="http://schemas.openxmlformats.org/officeDocument/2006/relationships/oleObject" Target="file:///E:\Documents\WPS%20Cloud%20Files\.240947214\cachedata\0AA1224AE9FC4FB29B5FB3E637F6539D\&#25968;&#25454;&#35745;&#31639;.xlsx" TargetMode="External"/></Relationships>
</file>

<file path=word/charts/_rels/chart2.xml.rels><?xml version="1.0" encoding="UTF-8" standalone="yes"?>
<Relationships xmlns="http://schemas.openxmlformats.org/package/2006/relationships"><Relationship Id="rId3" Type="http://schemas.microsoft.com/office/2011/relationships/chartColorStyle" Target="colors3.xml"/><Relationship Id="rId2" Type="http://schemas.microsoft.com/office/2011/relationships/chartStyle" Target="style3.xml"/><Relationship Id="rId1" Type="http://schemas.openxmlformats.org/officeDocument/2006/relationships/oleObject" Target="file:///D:\&#21327;&#20250;&#24037;&#20316;\&#26223;&#27668;&#25351;&#25968;\&#31119;&#24030;&#24066;&#29289;&#27969;&#26223;&#27668;&#25351;&#25968;&#65288;LPI&#65289;&#22522;&#30784;&#25968;&#25454;2021-2024.xlsx" TargetMode="External"/></Relationships>
</file>

<file path=word/charts/_rels/chart3.xml.rels><?xml version="1.0" encoding="UTF-8" standalone="yes"?>
<Relationships xmlns="http://schemas.openxmlformats.org/package/2006/relationships"><Relationship Id="rId3" Type="http://schemas.microsoft.com/office/2011/relationships/chartColorStyle" Target="colors2.xml"/><Relationship Id="rId2" Type="http://schemas.microsoft.com/office/2011/relationships/chartStyle" Target="style2.xml"/><Relationship Id="rId1" Type="http://schemas.openxmlformats.org/officeDocument/2006/relationships/oleObject" Target="file:///E:\Documents\WPS%20Cloud%20Files\.240947214\cachedata\0AA1224AE9FC4FB29B5FB3E637F6539D\&#25968;&#25454;&#35745;&#31639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false"/>
  <c:lang val="zh-CN"/>
  <c:roundedCorners val="false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true"/>
    <c:plotArea>
      <c:layout>
        <c:manualLayout>
          <c:layoutTarget val="inner"/>
          <c:xMode val="edge"/>
          <c:yMode val="edge"/>
          <c:x val="0.0613173034095676"/>
          <c:y val="0.0773672055427252"/>
          <c:w val="0.900107366594984"/>
          <c:h val="0.662124711316397"/>
        </c:manualLayout>
      </c:layout>
      <c:lineChart>
        <c:grouping val="standard"/>
        <c:varyColors val="false"/>
        <c:ser>
          <c:idx val="0"/>
          <c:order val="0"/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true"/>
              <a:lstStyle/>
              <a:p>
                <a:pPr>
                  <a:defRPr lang="zh-CN" sz="10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r"/>
            <c:showLegendKey val="false"/>
            <c:showVal val="true"/>
            <c:showCatName val="false"/>
            <c:showSerName val="false"/>
            <c:showPercent val="false"/>
            <c:showBubbleSize val="false"/>
            <c:showLeaderLines val="false"/>
            <c:extLst>
              <c:ext xmlns:c15="http://schemas.microsoft.com/office/drawing/2012/chart" uri="{CE6537A1-D6FC-4f65-9D91-7224C49458BB}">
                <c15:layout/>
                <c15:showLeaderLines val="true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'[数据计算.xlsx]景气值指数（2024-2025）'!$C$2:$S$2</c:f>
              <c:numCache>
                <c:formatCode>yyyy"年"m"月"</c:formatCode>
                <c:ptCount val="17"/>
                <c:pt idx="0" c:formatCode="yyyy&quot;年&quot;m&quot;月&quot;">
                  <c:v>45292</c:v>
                </c:pt>
                <c:pt idx="1" c:formatCode="yyyy&quot;年&quot;m&quot;月&quot;">
                  <c:v>45323</c:v>
                </c:pt>
                <c:pt idx="2" c:formatCode="yyyy&quot;年&quot;m&quot;月&quot;">
                  <c:v>45352</c:v>
                </c:pt>
                <c:pt idx="3" c:formatCode="yyyy&quot;年&quot;m&quot;月&quot;">
                  <c:v>45383</c:v>
                </c:pt>
                <c:pt idx="4" c:formatCode="yyyy&quot;年&quot;m&quot;月&quot;">
                  <c:v>45413</c:v>
                </c:pt>
                <c:pt idx="5" c:formatCode="yyyy&quot;年&quot;m&quot;月&quot;">
                  <c:v>45444</c:v>
                </c:pt>
                <c:pt idx="6" c:formatCode="yyyy&quot;年&quot;m&quot;月&quot;">
                  <c:v>45474</c:v>
                </c:pt>
                <c:pt idx="7" c:formatCode="yyyy&quot;年&quot;m&quot;月&quot;">
                  <c:v>45505</c:v>
                </c:pt>
                <c:pt idx="8" c:formatCode="yyyy&quot;年&quot;m&quot;月&quot;">
                  <c:v>45536</c:v>
                </c:pt>
                <c:pt idx="9" c:formatCode="yyyy&quot;年&quot;m&quot;月&quot;">
                  <c:v>45566</c:v>
                </c:pt>
                <c:pt idx="10" c:formatCode="yyyy&quot;年&quot;m&quot;月&quot;">
                  <c:v>45597</c:v>
                </c:pt>
                <c:pt idx="11" c:formatCode="yyyy&quot;年&quot;m&quot;月&quot;">
                  <c:v>45627</c:v>
                </c:pt>
                <c:pt idx="12" c:formatCode="yyyy&quot;年&quot;m&quot;月&quot;">
                  <c:v>45658</c:v>
                </c:pt>
                <c:pt idx="13" c:formatCode="yyyy&quot;年&quot;m&quot;月&quot;">
                  <c:v>45689</c:v>
                </c:pt>
                <c:pt idx="14" c:formatCode="yyyy&quot;年&quot;m&quot;月&quot;">
                  <c:v>45717</c:v>
                </c:pt>
                <c:pt idx="15" c:formatCode="yyyy&quot;年&quot;m&quot;月&quot;">
                  <c:v>45748</c:v>
                </c:pt>
                <c:pt idx="16" c:formatCode="yyyy&quot;年&quot;m&quot;月&quot;">
                  <c:v>45778</c:v>
                </c:pt>
              </c:numCache>
            </c:numRef>
          </c:cat>
          <c:val>
            <c:numRef>
              <c:f>'[数据计算.xlsx]景气值指数（2024-2025）'!$C$3:$S$3</c:f>
              <c:numCache>
                <c:formatCode>General</c:formatCode>
                <c:ptCount val="17"/>
                <c:pt idx="0">
                  <c:v>52.9</c:v>
                </c:pt>
                <c:pt idx="1">
                  <c:v>52</c:v>
                </c:pt>
                <c:pt idx="2">
                  <c:v>52.7</c:v>
                </c:pt>
                <c:pt idx="3">
                  <c:v>52.1</c:v>
                </c:pt>
                <c:pt idx="4">
                  <c:v>51.3</c:v>
                </c:pt>
                <c:pt idx="5">
                  <c:v>51</c:v>
                </c:pt>
                <c:pt idx="6">
                  <c:v>50.2</c:v>
                </c:pt>
                <c:pt idx="7">
                  <c:v>50.8</c:v>
                </c:pt>
                <c:pt idx="8">
                  <c:v>53.5</c:v>
                </c:pt>
                <c:pt idx="9">
                  <c:v>53.1</c:v>
                </c:pt>
                <c:pt idx="10">
                  <c:v>54.2</c:v>
                </c:pt>
                <c:pt idx="11">
                  <c:v>55.4</c:v>
                </c:pt>
                <c:pt idx="12">
                  <c:v>51.5</c:v>
                </c:pt>
                <c:pt idx="13">
                  <c:v>50.7</c:v>
                </c:pt>
                <c:pt idx="14">
                  <c:v>52.3</c:v>
                </c:pt>
                <c:pt idx="15" c:formatCode="0.0_ ">
                  <c:v>52</c:v>
                </c:pt>
                <c:pt idx="16">
                  <c:v>51.2</c:v>
                </c:pt>
              </c:numCache>
            </c:numRef>
          </c:val>
          <c:smooth val="false"/>
        </c:ser>
        <c:dLbls>
          <c:showLegendKey val="false"/>
          <c:showVal val="true"/>
          <c:showCatName val="false"/>
          <c:showSerName val="false"/>
          <c:showPercent val="false"/>
          <c:showBubbleSize val="false"/>
        </c:dLbls>
        <c:marker val="false"/>
        <c:smooth val="false"/>
        <c:axId val="537254817"/>
        <c:axId val="301279506"/>
      </c:lineChart>
      <c:dateAx>
        <c:axId val="537254817"/>
        <c:scaling>
          <c:orientation val="minMax"/>
        </c:scaling>
        <c:delete val="false"/>
        <c:axPos val="b"/>
        <c:numFmt formatCode="yyyy&quot;年&quot;m&quot;月&quot;" sourceLinked="false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true"/>
          <a:lstStyle/>
          <a:p>
            <a:pPr>
              <a:defRPr lang="zh-CN" sz="10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01279506"/>
        <c:crosses val="autoZero"/>
        <c:auto val="true"/>
        <c:lblOffset val="100"/>
        <c:baseTimeUnit val="months"/>
      </c:dateAx>
      <c:valAx>
        <c:axId val="301279506"/>
        <c:scaling>
          <c:orientation val="minMax"/>
        </c:scaling>
        <c:delete val="false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true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true"/>
          <a:lstStyle/>
          <a:p>
            <a:pPr>
              <a:defRPr lang="zh-CN" sz="1000" b="0" i="0" u="none" strike="noStrike" kern="1200" cap="none" spc="0" normalizeH="0" baseline="0">
                <a:solidFill>
                  <a:schemeClr val="tx1">
                    <a:lumMod val="65000"/>
                    <a:lumOff val="35000"/>
                  </a:schemeClr>
                </a:solidFill>
                <a:uFill>
                  <a:solidFill>
                    <a:schemeClr val="tx1">
                      <a:lumMod val="65000"/>
                      <a:lumOff val="35000"/>
                    </a:schemeClr>
                  </a:solidFill>
                </a:uFill>
                <a:latin typeface="+mn-lt"/>
                <a:ea typeface="+mn-ea"/>
                <a:cs typeface="+mn-cs"/>
              </a:defRPr>
            </a:pPr>
          </a:p>
        </c:txPr>
        <c:crossAx val="537254817"/>
        <c:crosses val="autoZero"/>
        <c:crossBetween val="between"/>
      </c:valAx>
      <c:spPr>
        <a:noFill/>
        <a:ln>
          <a:noFill/>
        </a:ln>
        <a:effectLst/>
      </c:spPr>
    </c:plotArea>
    <c:plotVisOnly val="true"/>
    <c:dispBlanksAs val="gap"/>
    <c:showDLblsOverMax val="false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false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false"/>
  <c:lang val="zh-CN"/>
  <c:roundedCorners val="false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true"/>
    <c:plotArea>
      <c:layout>
        <c:manualLayout>
          <c:layoutTarget val="inner"/>
          <c:xMode val="edge"/>
          <c:yMode val="edge"/>
          <c:x val="0.0784292475689756"/>
          <c:y val="0.0774336283185841"/>
          <c:w val="0.878864910271817"/>
          <c:h val="0.610619469026549"/>
        </c:manualLayout>
      </c:layout>
      <c:lineChart>
        <c:grouping val="standard"/>
        <c:varyColors val="false"/>
        <c:ser>
          <c:idx val="0"/>
          <c:order val="0"/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true"/>
              <a:lstStyle/>
              <a:p>
                <a:pPr>
                  <a:defRPr lang="zh-CN" sz="10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r"/>
            <c:showLegendKey val="false"/>
            <c:showVal val="true"/>
            <c:showCatName val="false"/>
            <c:showSerName val="false"/>
            <c:showPercent val="false"/>
            <c:showBubbleSize val="false"/>
            <c:showLeaderLines val="false"/>
            <c:extLst>
              <c:ext xmlns:c15="http://schemas.microsoft.com/office/drawing/2012/chart" uri="{CE6537A1-D6FC-4f65-9D91-7224C49458BB}">
                <c15:layout/>
                <c15:showLeaderLines val="true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'[福州市物流景气指数（LPI）基础数据2021-2024.xlsx]景气值指数（历史数据）'!$AG$2:$AW$2</c:f>
              <c:numCache>
                <c:formatCode>yyyy"年"m"月"</c:formatCode>
                <c:ptCount val="17"/>
                <c:pt idx="0" c:formatCode="yyyy&quot;年&quot;m&quot;月&quot;">
                  <c:v>45292</c:v>
                </c:pt>
                <c:pt idx="1" c:formatCode="yyyy&quot;年&quot;m&quot;月&quot;">
                  <c:v>45323</c:v>
                </c:pt>
                <c:pt idx="2" c:formatCode="yyyy&quot;年&quot;m&quot;月&quot;">
                  <c:v>45352</c:v>
                </c:pt>
                <c:pt idx="3" c:formatCode="yyyy&quot;年&quot;m&quot;月&quot;">
                  <c:v>45383</c:v>
                </c:pt>
                <c:pt idx="4" c:formatCode="yyyy&quot;年&quot;m&quot;月&quot;">
                  <c:v>45413</c:v>
                </c:pt>
                <c:pt idx="5" c:formatCode="yyyy&quot;年&quot;m&quot;月&quot;">
                  <c:v>45444</c:v>
                </c:pt>
                <c:pt idx="6" c:formatCode="yyyy&quot;年&quot;m&quot;月&quot;">
                  <c:v>45474</c:v>
                </c:pt>
                <c:pt idx="7" c:formatCode="yyyy&quot;年&quot;m&quot;月&quot;">
                  <c:v>45505</c:v>
                </c:pt>
                <c:pt idx="8" c:formatCode="yyyy&quot;年&quot;m&quot;月&quot;">
                  <c:v>45536</c:v>
                </c:pt>
                <c:pt idx="9" c:formatCode="yyyy&quot;年&quot;m&quot;月&quot;">
                  <c:v>45566</c:v>
                </c:pt>
                <c:pt idx="10" c:formatCode="yyyy&quot;年&quot;m&quot;月&quot;">
                  <c:v>45597</c:v>
                </c:pt>
                <c:pt idx="11" c:formatCode="yyyy&quot;年&quot;m&quot;月&quot;">
                  <c:v>45627</c:v>
                </c:pt>
                <c:pt idx="12" c:formatCode="yyyy&quot;年&quot;m&quot;月&quot;">
                  <c:v>45658</c:v>
                </c:pt>
                <c:pt idx="13" c:formatCode="yyyy&quot;年&quot;m&quot;月&quot;">
                  <c:v>45689</c:v>
                </c:pt>
                <c:pt idx="14" c:formatCode="yyyy&quot;年&quot;m&quot;月&quot;">
                  <c:v>45717</c:v>
                </c:pt>
                <c:pt idx="15" c:formatCode="yyyy&quot;年&quot;m&quot;月&quot;">
                  <c:v>45748</c:v>
                </c:pt>
                <c:pt idx="16" c:formatCode="yyyy&quot;年&quot;m&quot;月&quot;">
                  <c:v>45778</c:v>
                </c:pt>
              </c:numCache>
            </c:numRef>
          </c:cat>
          <c:val>
            <c:numRef>
              <c:f>'[福州市物流景气指数（LPI）基础数据2021-2024.xlsx]景气值指数（历史数据）'!$AG$12:$AW$12</c:f>
              <c:numCache>
                <c:formatCode>General</c:formatCode>
                <c:ptCount val="17"/>
                <c:pt idx="0">
                  <c:v>52.8</c:v>
                </c:pt>
                <c:pt idx="1">
                  <c:v>51.9</c:v>
                </c:pt>
                <c:pt idx="2">
                  <c:v>52.4</c:v>
                </c:pt>
                <c:pt idx="3">
                  <c:v>51.4</c:v>
                </c:pt>
                <c:pt idx="4">
                  <c:v>50.1</c:v>
                </c:pt>
                <c:pt idx="5">
                  <c:v>50</c:v>
                </c:pt>
                <c:pt idx="6">
                  <c:v>49.1</c:v>
                </c:pt>
                <c:pt idx="7">
                  <c:v>49.8</c:v>
                </c:pt>
                <c:pt idx="8">
                  <c:v>52.7</c:v>
                </c:pt>
                <c:pt idx="9">
                  <c:v>52.1</c:v>
                </c:pt>
                <c:pt idx="10">
                  <c:v>53.7</c:v>
                </c:pt>
                <c:pt idx="11">
                  <c:v>54.5</c:v>
                </c:pt>
                <c:pt idx="12">
                  <c:v>51.5</c:v>
                </c:pt>
                <c:pt idx="13">
                  <c:v>51.4</c:v>
                </c:pt>
                <c:pt idx="14">
                  <c:v>52.2</c:v>
                </c:pt>
                <c:pt idx="15">
                  <c:v>51.7</c:v>
                </c:pt>
                <c:pt idx="16">
                  <c:v>50.3</c:v>
                </c:pt>
              </c:numCache>
            </c:numRef>
          </c:val>
          <c:smooth val="false"/>
        </c:ser>
        <c:dLbls>
          <c:showLegendKey val="false"/>
          <c:showVal val="true"/>
          <c:showCatName val="false"/>
          <c:showSerName val="false"/>
          <c:showPercent val="false"/>
          <c:showBubbleSize val="false"/>
        </c:dLbls>
        <c:marker val="false"/>
        <c:smooth val="false"/>
        <c:axId val="616920669"/>
        <c:axId val="14096790"/>
      </c:lineChart>
      <c:dateAx>
        <c:axId val="616920669"/>
        <c:scaling>
          <c:orientation val="minMax"/>
        </c:scaling>
        <c:delete val="false"/>
        <c:axPos val="b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true"/>
          <a:lstStyle/>
          <a:p>
            <a:pPr>
              <a:defRPr lang="zh-CN" sz="10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14096790"/>
        <c:crosses val="autoZero"/>
        <c:auto val="true"/>
        <c:lblOffset val="100"/>
        <c:baseTimeUnit val="months"/>
      </c:dateAx>
      <c:valAx>
        <c:axId val="14096790"/>
        <c:scaling>
          <c:orientation val="minMax"/>
        </c:scaling>
        <c:delete val="false"/>
        <c:axPos val="l"/>
        <c:majorGridlines>
          <c:spPr>
            <a:ln w="9525" cap="flat" cmpd="sng" algn="ctr">
              <a:solidFill>
                <a:schemeClr val="bg1">
                  <a:lumMod val="65000"/>
                </a:schemeClr>
              </a:solidFill>
              <a:round/>
            </a:ln>
            <a:effectLst/>
          </c:spPr>
        </c:majorGridlines>
        <c:numFmt formatCode="General" sourceLinked="true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true"/>
          <a:lstStyle/>
          <a:p>
            <a:pPr>
              <a:defRPr lang="zh-CN" sz="10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616920669"/>
        <c:crosses val="autoZero"/>
        <c:crossBetween val="between"/>
      </c:valAx>
      <c:spPr>
        <a:noFill/>
        <a:ln>
          <a:noFill/>
        </a:ln>
        <a:effectLst/>
      </c:spPr>
    </c:plotArea>
    <c:plotVisOnly val="true"/>
    <c:dispBlanksAs val="gap"/>
    <c:showDLblsOverMax val="false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false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false"/>
  <c:lang val="zh-CN"/>
  <c:roundedCorners val="false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true"/>
    <c:plotArea>
      <c:layout>
        <c:manualLayout>
          <c:layoutTarget val="inner"/>
          <c:xMode val="edge"/>
          <c:yMode val="edge"/>
          <c:x val="0.0730862201184963"/>
          <c:y val="0.0733046800382044"/>
          <c:w val="0.895838082670348"/>
          <c:h val="0.650191021967526"/>
        </c:manualLayout>
      </c:layout>
      <c:lineChart>
        <c:grouping val="standard"/>
        <c:varyColors val="false"/>
        <c:ser>
          <c:idx val="0"/>
          <c:order val="0"/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true"/>
              <a:lstStyle/>
              <a:p>
                <a:pPr>
                  <a:defRPr lang="zh-CN" sz="10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r"/>
            <c:showLegendKey val="false"/>
            <c:showVal val="true"/>
            <c:showCatName val="false"/>
            <c:showSerName val="false"/>
            <c:showPercent val="false"/>
            <c:showBubbleSize val="false"/>
            <c:showLeaderLines val="false"/>
            <c:extLst>
              <c:ext xmlns:c15="http://schemas.microsoft.com/office/drawing/2012/chart" uri="{CE6537A1-D6FC-4f65-9D91-7224C49458BB}">
                <c15:layout/>
                <c15:showLeaderLines val="true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'[数据计算.xlsx]景气值指数（2024-2025）'!$C$2:$S$2</c:f>
              <c:numCache>
                <c:formatCode>yyyy"年"m"月"</c:formatCode>
                <c:ptCount val="17"/>
                <c:pt idx="0" c:formatCode="yyyy&quot;年&quot;m&quot;月&quot;">
                  <c:v>45292</c:v>
                </c:pt>
                <c:pt idx="1" c:formatCode="yyyy&quot;年&quot;m&quot;月&quot;">
                  <c:v>45323</c:v>
                </c:pt>
                <c:pt idx="2" c:formatCode="yyyy&quot;年&quot;m&quot;月&quot;">
                  <c:v>45352</c:v>
                </c:pt>
                <c:pt idx="3" c:formatCode="yyyy&quot;年&quot;m&quot;月&quot;">
                  <c:v>45383</c:v>
                </c:pt>
                <c:pt idx="4" c:formatCode="yyyy&quot;年&quot;m&quot;月&quot;">
                  <c:v>45413</c:v>
                </c:pt>
                <c:pt idx="5" c:formatCode="yyyy&quot;年&quot;m&quot;月&quot;">
                  <c:v>45444</c:v>
                </c:pt>
                <c:pt idx="6" c:formatCode="yyyy&quot;年&quot;m&quot;月&quot;">
                  <c:v>45474</c:v>
                </c:pt>
                <c:pt idx="7" c:formatCode="yyyy&quot;年&quot;m&quot;月&quot;">
                  <c:v>45505</c:v>
                </c:pt>
                <c:pt idx="8" c:formatCode="yyyy&quot;年&quot;m&quot;月&quot;">
                  <c:v>45536</c:v>
                </c:pt>
                <c:pt idx="9" c:formatCode="yyyy&quot;年&quot;m&quot;月&quot;">
                  <c:v>45566</c:v>
                </c:pt>
                <c:pt idx="10" c:formatCode="yyyy&quot;年&quot;m&quot;月&quot;">
                  <c:v>45597</c:v>
                </c:pt>
                <c:pt idx="11" c:formatCode="yyyy&quot;年&quot;m&quot;月&quot;">
                  <c:v>45627</c:v>
                </c:pt>
                <c:pt idx="12" c:formatCode="yyyy&quot;年&quot;m&quot;月&quot;">
                  <c:v>45658</c:v>
                </c:pt>
                <c:pt idx="13" c:formatCode="yyyy&quot;年&quot;m&quot;月&quot;">
                  <c:v>45689</c:v>
                </c:pt>
                <c:pt idx="14" c:formatCode="yyyy&quot;年&quot;m&quot;月&quot;">
                  <c:v>45717</c:v>
                </c:pt>
                <c:pt idx="15" c:formatCode="yyyy&quot;年&quot;m&quot;月&quot;">
                  <c:v>45748</c:v>
                </c:pt>
                <c:pt idx="16" c:formatCode="yyyy&quot;年&quot;m&quot;月&quot;">
                  <c:v>45778</c:v>
                </c:pt>
              </c:numCache>
            </c:numRef>
          </c:cat>
          <c:val>
            <c:numRef>
              <c:f>'[数据计算.xlsx]景气值指数（2024-2025）'!$C$13:$S$13</c:f>
              <c:numCache>
                <c:formatCode>General</c:formatCode>
                <c:ptCount val="17"/>
                <c:pt idx="0">
                  <c:v>53.2</c:v>
                </c:pt>
                <c:pt idx="1">
                  <c:v>52.4</c:v>
                </c:pt>
                <c:pt idx="2">
                  <c:v>53.3</c:v>
                </c:pt>
                <c:pt idx="3">
                  <c:v>52.3</c:v>
                </c:pt>
                <c:pt idx="4">
                  <c:v>51.7</c:v>
                </c:pt>
                <c:pt idx="5">
                  <c:v>51.5</c:v>
                </c:pt>
                <c:pt idx="6">
                  <c:v>50.4</c:v>
                </c:pt>
                <c:pt idx="7">
                  <c:v>51.2</c:v>
                </c:pt>
                <c:pt idx="8">
                  <c:v>53.9</c:v>
                </c:pt>
                <c:pt idx="9">
                  <c:v>53.2</c:v>
                </c:pt>
                <c:pt idx="10">
                  <c:v>55.3</c:v>
                </c:pt>
                <c:pt idx="11">
                  <c:v>55.9</c:v>
                </c:pt>
                <c:pt idx="12">
                  <c:v>51.5</c:v>
                </c:pt>
                <c:pt idx="13">
                  <c:v>50.5</c:v>
                </c:pt>
                <c:pt idx="14">
                  <c:v>51.6</c:v>
                </c:pt>
                <c:pt idx="15">
                  <c:v>50.4</c:v>
                </c:pt>
                <c:pt idx="16">
                  <c:v>51.8</c:v>
                </c:pt>
              </c:numCache>
            </c:numRef>
          </c:val>
          <c:smooth val="false"/>
        </c:ser>
        <c:dLbls>
          <c:showLegendKey val="false"/>
          <c:showVal val="true"/>
          <c:showCatName val="false"/>
          <c:showSerName val="false"/>
          <c:showPercent val="false"/>
          <c:showBubbleSize val="false"/>
        </c:dLbls>
        <c:marker val="false"/>
        <c:smooth val="false"/>
        <c:axId val="680619462"/>
        <c:axId val="421917830"/>
      </c:lineChart>
      <c:dateAx>
        <c:axId val="680619462"/>
        <c:scaling>
          <c:orientation val="minMax"/>
        </c:scaling>
        <c:delete val="false"/>
        <c:axPos val="b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true"/>
          <a:lstStyle/>
          <a:p>
            <a:pPr>
              <a:defRPr lang="zh-CN" sz="10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421917830"/>
        <c:crosses val="autoZero"/>
        <c:auto val="true"/>
        <c:lblOffset val="100"/>
        <c:baseTimeUnit val="months"/>
      </c:dateAx>
      <c:valAx>
        <c:axId val="421917830"/>
        <c:scaling>
          <c:orientation val="minMax"/>
        </c:scaling>
        <c:delete val="false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true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true"/>
          <a:lstStyle/>
          <a:p>
            <a:pPr>
              <a:defRPr lang="zh-CN" sz="10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680619462"/>
        <c:crosses val="autoZero"/>
        <c:crossBetween val="between"/>
      </c:valAx>
      <c:spPr>
        <a:noFill/>
        <a:ln>
          <a:noFill/>
        </a:ln>
        <a:effectLst/>
      </c:spPr>
    </c:plotArea>
    <c:plotVisOnly val="true"/>
    <c:dispBlanksAs val="gap"/>
    <c:showDLblsOverMax val="false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 sz="1100"/>
      </a:pPr>
    </a:p>
  </c:txPr>
  <c:externalData r:id="rId1">
    <c:autoUpdate val="false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true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true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true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1364</Words>
  <Characters>1747</Characters>
  <Lines>0</Lines>
  <Paragraphs>0</Paragraphs>
  <TotalTime>1</TotalTime>
  <ScaleCrop>false</ScaleCrop>
  <LinksUpToDate>false</LinksUpToDate>
  <CharactersWithSpaces>1801</CharactersWithSpaces>
  <Application>WPS Office_11.8.2.9583_F1E327BC-269C-435d-A152-05C5408002CA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2025-05-29T19:40:00Z</dcterms:created>
  <dc:creator>WPS_1675910448</dc:creator>
  <cp:lastModifiedBy>杨杰</cp:lastModifiedBy>
  <cp:lastPrinted>2025-06-21T09:48:00Z</cp:lastPrinted>
  <dcterms:modified xsi:type="dcterms:W3CDTF">2025-06-25T16:02:30Z</dcterms:modified>
  <dc:title>2025年5月份福州市物流业景气指数（LPI）情况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2052-11.8.2.9583</vt:lpwstr>
  </property>
  <property fmtid="{D5CDD505-2E9C-101B-9397-08002B2CF9AE}" pid="3" name="ICV">
    <vt:lpwstr>6FFDA3FBF5AE49B3A2B9639173DEBBC1_13</vt:lpwstr>
  </property>
  <property fmtid="{D5CDD505-2E9C-101B-9397-08002B2CF9AE}" pid="4" name="KSOTemplateDocerSaveRecord">
    <vt:lpwstr>eyJoZGlkIjoiMjM3MjEwYWY4NjVhOThjZGY4YmJiNTg5YzNjMjA4NWIiLCJ1c2VySWQiOiIyNjE3OTU2OTEifQ==</vt:lpwstr>
  </property>
</Properties>
</file>