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D6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2024年10月福州市物流业景气指数（LPI）情况</w:t>
      </w:r>
    </w:p>
    <w:p w14:paraId="0A3861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 w14:paraId="730FD0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10月，福州市物流业景气指数（LPI）为53.1%（见图1），虽较上月小幅回落0.4个百分点，但物流市场整体运行仍保持平稳。</w:t>
      </w:r>
      <w:r>
        <w:rPr>
          <w:rFonts w:hint="eastAsia" w:ascii="仿宋_GB2312" w:hAnsi="仿宋" w:eastAsia="仿宋_GB2312"/>
          <w:sz w:val="32"/>
          <w:szCs w:val="32"/>
        </w:rPr>
        <w:t>12个单项指数“十降一升一持平”，其中从业人员指数小幅回升0.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个百分点，固定资产投资完成额指数与上月持平。其他各项指数</w:t>
      </w:r>
      <w:r>
        <w:rPr>
          <w:rFonts w:hint="eastAsia" w:ascii="仿宋_GB2312" w:hAnsi="Times New Roman" w:eastAsia="仿宋_GB2312"/>
          <w:sz w:val="32"/>
          <w:szCs w:val="32"/>
        </w:rPr>
        <w:t>回落幅度在0.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至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个百分点之间，其中主营业务利润指数回落2.</w:t>
      </w:r>
      <w:r>
        <w:rPr>
          <w:rFonts w:ascii="仿宋_GB2312" w:hAnsi="Times New Roman" w:eastAsia="仿宋_GB2312"/>
          <w:sz w:val="32"/>
          <w:szCs w:val="32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sz w:val="32"/>
          <w:szCs w:val="32"/>
        </w:rPr>
        <w:t>（见表）。</w:t>
      </w:r>
    </w:p>
    <w:p w14:paraId="79E9DDCA">
      <w:pPr>
        <w:widowControl/>
        <w:spacing w:line="240" w:lineRule="auto"/>
        <w:jc w:val="center"/>
        <w:rPr>
          <w:b/>
          <w:bCs/>
        </w:rPr>
      </w:pPr>
      <w:r>
        <w:rPr>
          <w:rFonts w:hint="eastAsia" w:ascii="仿宋_GB2312" w:hAnsi="宋体" w:eastAsia="仿宋_GB2312" w:cs="Arial"/>
          <w:sz w:val="32"/>
          <w:szCs w:val="32"/>
        </w:rPr>
        <w:drawing>
          <wp:inline distT="0" distB="0" distL="114300" distR="114300">
            <wp:extent cx="5575935" cy="2944495"/>
            <wp:effectExtent l="0" t="0" r="5715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3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图1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年1月-202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月分月福州市物流业景气指数（LPI）</w:t>
      </w:r>
    </w:p>
    <w:p w14:paraId="0335E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走势图</w:t>
      </w:r>
    </w:p>
    <w:p w14:paraId="599E03B1">
      <w:pPr>
        <w:widowControl/>
        <w:spacing w:line="240" w:lineRule="auto"/>
        <w:jc w:val="center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40"/>
        <w:gridCol w:w="1230"/>
        <w:gridCol w:w="1275"/>
        <w:gridCol w:w="1410"/>
        <w:gridCol w:w="1331"/>
      </w:tblGrid>
      <w:tr w14:paraId="2B007D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 w14:paraId="3DD38DB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40" w:type="dxa"/>
            <w:noWrap/>
            <w:vAlign w:val="center"/>
          </w:tcPr>
          <w:p w14:paraId="2A6766D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2024年10月（%）</w:t>
            </w:r>
          </w:p>
        </w:tc>
        <w:tc>
          <w:tcPr>
            <w:tcW w:w="1230" w:type="dxa"/>
            <w:noWrap/>
            <w:vAlign w:val="center"/>
          </w:tcPr>
          <w:p w14:paraId="690648C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2024年9月（%）</w:t>
            </w:r>
          </w:p>
        </w:tc>
        <w:tc>
          <w:tcPr>
            <w:tcW w:w="1275" w:type="dxa"/>
            <w:noWrap w:val="0"/>
            <w:vAlign w:val="center"/>
          </w:tcPr>
          <w:p w14:paraId="44597F7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环比增减（%）</w:t>
            </w:r>
          </w:p>
        </w:tc>
        <w:tc>
          <w:tcPr>
            <w:tcW w:w="1410" w:type="dxa"/>
            <w:noWrap w:val="0"/>
            <w:vAlign w:val="center"/>
          </w:tcPr>
          <w:p w14:paraId="5CA1105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2023年10</w:t>
            </w:r>
          </w:p>
          <w:p w14:paraId="61385D9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月（%）</w:t>
            </w:r>
          </w:p>
        </w:tc>
        <w:tc>
          <w:tcPr>
            <w:tcW w:w="1331" w:type="dxa"/>
            <w:noWrap/>
            <w:vAlign w:val="center"/>
          </w:tcPr>
          <w:p w14:paraId="6BC70DF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同比增减</w:t>
            </w:r>
          </w:p>
          <w:p w14:paraId="0AB5E88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（%）</w:t>
            </w:r>
          </w:p>
        </w:tc>
      </w:tr>
      <w:tr w14:paraId="3BEDA4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noWrap/>
            <w:vAlign w:val="bottom"/>
          </w:tcPr>
          <w:p w14:paraId="6AE9DA7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物流业景气指数（LPI）</w:t>
            </w:r>
          </w:p>
        </w:tc>
        <w:tc>
          <w:tcPr>
            <w:tcW w:w="1240" w:type="dxa"/>
            <w:noWrap/>
            <w:vAlign w:val="center"/>
          </w:tcPr>
          <w:p w14:paraId="2878AEA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53.1</w:t>
            </w:r>
          </w:p>
        </w:tc>
        <w:tc>
          <w:tcPr>
            <w:tcW w:w="1230" w:type="dxa"/>
            <w:noWrap/>
            <w:vAlign w:val="center"/>
          </w:tcPr>
          <w:p w14:paraId="76E004F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275" w:type="dxa"/>
            <w:noWrap w:val="0"/>
            <w:vAlign w:val="center"/>
          </w:tcPr>
          <w:p w14:paraId="3449F23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-0.4</w:t>
            </w:r>
          </w:p>
        </w:tc>
        <w:tc>
          <w:tcPr>
            <w:tcW w:w="1410" w:type="dxa"/>
            <w:noWrap w:val="0"/>
            <w:vAlign w:val="center"/>
          </w:tcPr>
          <w:p w14:paraId="3FAE78D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53.3</w:t>
            </w:r>
          </w:p>
        </w:tc>
        <w:tc>
          <w:tcPr>
            <w:tcW w:w="1331" w:type="dxa"/>
            <w:noWrap/>
            <w:vAlign w:val="center"/>
          </w:tcPr>
          <w:p w14:paraId="13130E6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-0.2</w:t>
            </w:r>
          </w:p>
        </w:tc>
      </w:tr>
      <w:tr w14:paraId="7519FA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8" w:type="dxa"/>
            <w:noWrap/>
            <w:vAlign w:val="bottom"/>
          </w:tcPr>
          <w:p w14:paraId="1A6E81E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固定资产投资完成额</w:t>
            </w:r>
          </w:p>
        </w:tc>
        <w:tc>
          <w:tcPr>
            <w:tcW w:w="1240" w:type="dxa"/>
            <w:noWrap/>
            <w:vAlign w:val="center"/>
          </w:tcPr>
          <w:p w14:paraId="25A056F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46.0</w:t>
            </w:r>
          </w:p>
        </w:tc>
        <w:tc>
          <w:tcPr>
            <w:tcW w:w="1230" w:type="dxa"/>
            <w:noWrap/>
            <w:vAlign w:val="center"/>
          </w:tcPr>
          <w:p w14:paraId="3B410F2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46.0</w:t>
            </w:r>
          </w:p>
        </w:tc>
        <w:tc>
          <w:tcPr>
            <w:tcW w:w="1275" w:type="dxa"/>
            <w:noWrap w:val="0"/>
            <w:vAlign w:val="center"/>
          </w:tcPr>
          <w:p w14:paraId="4227ECB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</w:t>
            </w:r>
          </w:p>
        </w:tc>
        <w:tc>
          <w:tcPr>
            <w:tcW w:w="1410" w:type="dxa"/>
            <w:noWrap w:val="0"/>
            <w:vAlign w:val="center"/>
          </w:tcPr>
          <w:p w14:paraId="422E10A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40.6</w:t>
            </w:r>
          </w:p>
        </w:tc>
        <w:tc>
          <w:tcPr>
            <w:tcW w:w="1331" w:type="dxa"/>
            <w:noWrap/>
            <w:vAlign w:val="center"/>
          </w:tcPr>
          <w:p w14:paraId="5307A24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5.4</w:t>
            </w:r>
          </w:p>
        </w:tc>
      </w:tr>
      <w:tr w14:paraId="36F0F3B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18" w:type="dxa"/>
            <w:noWrap/>
            <w:vAlign w:val="bottom"/>
          </w:tcPr>
          <w:p w14:paraId="23A7421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平均库存量</w:t>
            </w:r>
          </w:p>
        </w:tc>
        <w:tc>
          <w:tcPr>
            <w:tcW w:w="1240" w:type="dxa"/>
            <w:noWrap/>
            <w:vAlign w:val="center"/>
          </w:tcPr>
          <w:p w14:paraId="72A1120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59.9</w:t>
            </w:r>
          </w:p>
        </w:tc>
        <w:tc>
          <w:tcPr>
            <w:tcW w:w="1230" w:type="dxa"/>
            <w:noWrap/>
            <w:vAlign w:val="center"/>
          </w:tcPr>
          <w:p w14:paraId="61C83E9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60.2</w:t>
            </w:r>
          </w:p>
        </w:tc>
        <w:tc>
          <w:tcPr>
            <w:tcW w:w="1275" w:type="dxa"/>
            <w:noWrap w:val="0"/>
            <w:vAlign w:val="center"/>
          </w:tcPr>
          <w:p w14:paraId="4022BDB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-0.3</w:t>
            </w:r>
          </w:p>
        </w:tc>
        <w:tc>
          <w:tcPr>
            <w:tcW w:w="1410" w:type="dxa"/>
            <w:noWrap w:val="0"/>
            <w:vAlign w:val="center"/>
          </w:tcPr>
          <w:p w14:paraId="1D1E78E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43.5</w:t>
            </w:r>
          </w:p>
        </w:tc>
        <w:tc>
          <w:tcPr>
            <w:tcW w:w="1331" w:type="dxa"/>
            <w:noWrap/>
            <w:vAlign w:val="center"/>
          </w:tcPr>
          <w:p w14:paraId="5371354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16.4</w:t>
            </w:r>
          </w:p>
        </w:tc>
      </w:tr>
      <w:tr w14:paraId="26A9E2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 w14:paraId="7AE7CEE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库存周转次数</w:t>
            </w:r>
          </w:p>
        </w:tc>
        <w:tc>
          <w:tcPr>
            <w:tcW w:w="1240" w:type="dxa"/>
            <w:noWrap/>
            <w:vAlign w:val="center"/>
          </w:tcPr>
          <w:p w14:paraId="1540239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51.8</w:t>
            </w:r>
          </w:p>
        </w:tc>
        <w:tc>
          <w:tcPr>
            <w:tcW w:w="1230" w:type="dxa"/>
            <w:noWrap/>
            <w:vAlign w:val="center"/>
          </w:tcPr>
          <w:p w14:paraId="0D84228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52.4</w:t>
            </w:r>
          </w:p>
        </w:tc>
        <w:tc>
          <w:tcPr>
            <w:tcW w:w="1275" w:type="dxa"/>
            <w:noWrap w:val="0"/>
            <w:vAlign w:val="center"/>
          </w:tcPr>
          <w:p w14:paraId="5329282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-0.6</w:t>
            </w:r>
          </w:p>
        </w:tc>
        <w:tc>
          <w:tcPr>
            <w:tcW w:w="1410" w:type="dxa"/>
            <w:noWrap w:val="0"/>
            <w:vAlign w:val="center"/>
          </w:tcPr>
          <w:p w14:paraId="551BCBF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45.3</w:t>
            </w:r>
          </w:p>
        </w:tc>
        <w:tc>
          <w:tcPr>
            <w:tcW w:w="1331" w:type="dxa"/>
            <w:noWrap/>
            <w:vAlign w:val="center"/>
          </w:tcPr>
          <w:p w14:paraId="26C2AC1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6.5</w:t>
            </w:r>
          </w:p>
        </w:tc>
      </w:tr>
      <w:tr w14:paraId="0BDC24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18" w:type="dxa"/>
            <w:noWrap/>
            <w:vAlign w:val="bottom"/>
          </w:tcPr>
          <w:p w14:paraId="7985AB5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业务活动预期</w:t>
            </w:r>
          </w:p>
        </w:tc>
        <w:tc>
          <w:tcPr>
            <w:tcW w:w="1240" w:type="dxa"/>
            <w:noWrap/>
            <w:vAlign w:val="center"/>
          </w:tcPr>
          <w:p w14:paraId="075FC03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58.0</w:t>
            </w:r>
          </w:p>
        </w:tc>
        <w:tc>
          <w:tcPr>
            <w:tcW w:w="1230" w:type="dxa"/>
            <w:noWrap/>
            <w:vAlign w:val="center"/>
          </w:tcPr>
          <w:p w14:paraId="31410F1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58.6</w:t>
            </w:r>
          </w:p>
        </w:tc>
        <w:tc>
          <w:tcPr>
            <w:tcW w:w="1275" w:type="dxa"/>
            <w:noWrap w:val="0"/>
            <w:vAlign w:val="center"/>
          </w:tcPr>
          <w:p w14:paraId="2264FC1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-0.6</w:t>
            </w:r>
          </w:p>
        </w:tc>
        <w:tc>
          <w:tcPr>
            <w:tcW w:w="1410" w:type="dxa"/>
            <w:noWrap w:val="0"/>
            <w:vAlign w:val="center"/>
          </w:tcPr>
          <w:p w14:paraId="3C0C0FE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55.6</w:t>
            </w:r>
          </w:p>
        </w:tc>
        <w:tc>
          <w:tcPr>
            <w:tcW w:w="1331" w:type="dxa"/>
            <w:noWrap/>
            <w:vAlign w:val="center"/>
          </w:tcPr>
          <w:p w14:paraId="0E9BA6F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2.4</w:t>
            </w:r>
          </w:p>
        </w:tc>
      </w:tr>
      <w:tr w14:paraId="58D074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18" w:type="dxa"/>
            <w:noWrap/>
            <w:vAlign w:val="bottom"/>
          </w:tcPr>
          <w:p w14:paraId="4F61657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物流服务价格</w:t>
            </w:r>
          </w:p>
        </w:tc>
        <w:tc>
          <w:tcPr>
            <w:tcW w:w="1240" w:type="dxa"/>
            <w:noWrap/>
            <w:vAlign w:val="center"/>
          </w:tcPr>
          <w:p w14:paraId="13EC875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55.0</w:t>
            </w:r>
          </w:p>
        </w:tc>
        <w:tc>
          <w:tcPr>
            <w:tcW w:w="1230" w:type="dxa"/>
            <w:noWrap/>
            <w:vAlign w:val="center"/>
          </w:tcPr>
          <w:p w14:paraId="069F97E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55.5</w:t>
            </w:r>
          </w:p>
        </w:tc>
        <w:tc>
          <w:tcPr>
            <w:tcW w:w="1275" w:type="dxa"/>
            <w:noWrap w:val="0"/>
            <w:vAlign w:val="center"/>
          </w:tcPr>
          <w:p w14:paraId="5FC1E92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-0.5</w:t>
            </w:r>
          </w:p>
        </w:tc>
        <w:tc>
          <w:tcPr>
            <w:tcW w:w="1410" w:type="dxa"/>
            <w:noWrap w:val="0"/>
            <w:vAlign w:val="center"/>
          </w:tcPr>
          <w:p w14:paraId="76467ED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53.4</w:t>
            </w:r>
          </w:p>
        </w:tc>
        <w:tc>
          <w:tcPr>
            <w:tcW w:w="1331" w:type="dxa"/>
            <w:noWrap/>
            <w:vAlign w:val="center"/>
          </w:tcPr>
          <w:p w14:paraId="42A23A1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1.6</w:t>
            </w:r>
          </w:p>
        </w:tc>
      </w:tr>
      <w:tr w14:paraId="55EA67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 w14:paraId="4CA3ADF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设备利用率</w:t>
            </w:r>
          </w:p>
        </w:tc>
        <w:tc>
          <w:tcPr>
            <w:tcW w:w="1240" w:type="dxa"/>
            <w:noWrap/>
            <w:vAlign w:val="center"/>
          </w:tcPr>
          <w:p w14:paraId="2EE23CA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53.1</w:t>
            </w:r>
          </w:p>
        </w:tc>
        <w:tc>
          <w:tcPr>
            <w:tcW w:w="1230" w:type="dxa"/>
            <w:noWrap/>
            <w:vAlign w:val="center"/>
          </w:tcPr>
          <w:p w14:paraId="3306A20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53.6</w:t>
            </w:r>
          </w:p>
        </w:tc>
        <w:tc>
          <w:tcPr>
            <w:tcW w:w="1275" w:type="dxa"/>
            <w:noWrap w:val="0"/>
            <w:vAlign w:val="center"/>
          </w:tcPr>
          <w:p w14:paraId="436685E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-0.5</w:t>
            </w:r>
          </w:p>
        </w:tc>
        <w:tc>
          <w:tcPr>
            <w:tcW w:w="1410" w:type="dxa"/>
            <w:noWrap w:val="0"/>
            <w:vAlign w:val="center"/>
          </w:tcPr>
          <w:p w14:paraId="0F4AADE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54.8</w:t>
            </w:r>
          </w:p>
        </w:tc>
        <w:tc>
          <w:tcPr>
            <w:tcW w:w="1331" w:type="dxa"/>
            <w:noWrap/>
            <w:vAlign w:val="center"/>
          </w:tcPr>
          <w:p w14:paraId="02C1022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-1.7</w:t>
            </w:r>
          </w:p>
        </w:tc>
      </w:tr>
      <w:tr w14:paraId="0CA5AC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 w14:paraId="689FF2D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</w:p>
        </w:tc>
        <w:tc>
          <w:tcPr>
            <w:tcW w:w="1240" w:type="dxa"/>
            <w:noWrap/>
            <w:vAlign w:val="center"/>
          </w:tcPr>
          <w:p w14:paraId="10D65D4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55.2</w:t>
            </w:r>
          </w:p>
        </w:tc>
        <w:tc>
          <w:tcPr>
            <w:tcW w:w="1230" w:type="dxa"/>
            <w:noWrap/>
            <w:vAlign w:val="center"/>
          </w:tcPr>
          <w:p w14:paraId="1C9531A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54.8</w:t>
            </w:r>
          </w:p>
        </w:tc>
        <w:tc>
          <w:tcPr>
            <w:tcW w:w="1275" w:type="dxa"/>
            <w:noWrap w:val="0"/>
            <w:vAlign w:val="center"/>
          </w:tcPr>
          <w:p w14:paraId="001095D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0.4</w:t>
            </w:r>
          </w:p>
        </w:tc>
        <w:tc>
          <w:tcPr>
            <w:tcW w:w="1410" w:type="dxa"/>
            <w:noWrap w:val="0"/>
            <w:vAlign w:val="center"/>
          </w:tcPr>
          <w:p w14:paraId="13DE969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55.0</w:t>
            </w:r>
          </w:p>
        </w:tc>
        <w:tc>
          <w:tcPr>
            <w:tcW w:w="1331" w:type="dxa"/>
            <w:noWrap/>
            <w:vAlign w:val="center"/>
          </w:tcPr>
          <w:p w14:paraId="4D11177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0.2</w:t>
            </w:r>
          </w:p>
        </w:tc>
      </w:tr>
      <w:tr w14:paraId="0811DF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 w14:paraId="2113729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主营业务成本</w:t>
            </w:r>
          </w:p>
        </w:tc>
        <w:tc>
          <w:tcPr>
            <w:tcW w:w="1240" w:type="dxa"/>
            <w:noWrap/>
            <w:vAlign w:val="center"/>
          </w:tcPr>
          <w:p w14:paraId="653A063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49.2</w:t>
            </w:r>
          </w:p>
        </w:tc>
        <w:tc>
          <w:tcPr>
            <w:tcW w:w="1230" w:type="dxa"/>
            <w:noWrap/>
            <w:vAlign w:val="center"/>
          </w:tcPr>
          <w:p w14:paraId="6851A8D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49.9</w:t>
            </w:r>
          </w:p>
        </w:tc>
        <w:tc>
          <w:tcPr>
            <w:tcW w:w="1275" w:type="dxa"/>
            <w:noWrap w:val="0"/>
            <w:vAlign w:val="center"/>
          </w:tcPr>
          <w:p w14:paraId="5D54507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-0.7</w:t>
            </w:r>
          </w:p>
        </w:tc>
        <w:tc>
          <w:tcPr>
            <w:tcW w:w="1410" w:type="dxa"/>
            <w:noWrap w:val="0"/>
            <w:vAlign w:val="center"/>
          </w:tcPr>
          <w:p w14:paraId="1E21218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56.5</w:t>
            </w:r>
          </w:p>
        </w:tc>
        <w:tc>
          <w:tcPr>
            <w:tcW w:w="1331" w:type="dxa"/>
            <w:noWrap/>
            <w:vAlign w:val="center"/>
          </w:tcPr>
          <w:p w14:paraId="7726FAA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-7.3</w:t>
            </w:r>
          </w:p>
        </w:tc>
      </w:tr>
      <w:tr w14:paraId="7E8F84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 w14:paraId="603F472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新订单（客户需求）</w:t>
            </w:r>
          </w:p>
        </w:tc>
        <w:tc>
          <w:tcPr>
            <w:tcW w:w="1240" w:type="dxa"/>
            <w:noWrap/>
            <w:vAlign w:val="center"/>
          </w:tcPr>
          <w:p w14:paraId="18E8994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52.1</w:t>
            </w:r>
          </w:p>
        </w:tc>
        <w:tc>
          <w:tcPr>
            <w:tcW w:w="1230" w:type="dxa"/>
            <w:noWrap/>
            <w:vAlign w:val="center"/>
          </w:tcPr>
          <w:p w14:paraId="7AA5282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52.7</w:t>
            </w:r>
          </w:p>
        </w:tc>
        <w:tc>
          <w:tcPr>
            <w:tcW w:w="1275" w:type="dxa"/>
            <w:noWrap w:val="0"/>
            <w:vAlign w:val="center"/>
          </w:tcPr>
          <w:p w14:paraId="0085839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-0.6</w:t>
            </w:r>
          </w:p>
        </w:tc>
        <w:tc>
          <w:tcPr>
            <w:tcW w:w="1410" w:type="dxa"/>
            <w:noWrap w:val="0"/>
            <w:vAlign w:val="center"/>
          </w:tcPr>
          <w:p w14:paraId="798F9DE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53.4</w:t>
            </w:r>
          </w:p>
        </w:tc>
        <w:tc>
          <w:tcPr>
            <w:tcW w:w="1331" w:type="dxa"/>
            <w:noWrap/>
            <w:vAlign w:val="center"/>
          </w:tcPr>
          <w:p w14:paraId="22C9E7F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-1.3</w:t>
            </w:r>
          </w:p>
        </w:tc>
      </w:tr>
      <w:tr w14:paraId="6112EB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 w14:paraId="42F653A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业务总量</w:t>
            </w:r>
          </w:p>
        </w:tc>
        <w:tc>
          <w:tcPr>
            <w:tcW w:w="1240" w:type="dxa"/>
            <w:noWrap/>
            <w:vAlign w:val="center"/>
          </w:tcPr>
          <w:p w14:paraId="292EB1E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53.2</w:t>
            </w:r>
          </w:p>
        </w:tc>
        <w:tc>
          <w:tcPr>
            <w:tcW w:w="1230" w:type="dxa"/>
            <w:noWrap/>
            <w:vAlign w:val="center"/>
          </w:tcPr>
          <w:p w14:paraId="2BD2CEB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53.9</w:t>
            </w:r>
          </w:p>
        </w:tc>
        <w:tc>
          <w:tcPr>
            <w:tcW w:w="1275" w:type="dxa"/>
            <w:noWrap w:val="0"/>
            <w:vAlign w:val="center"/>
          </w:tcPr>
          <w:p w14:paraId="67E40E6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-0.7</w:t>
            </w:r>
          </w:p>
        </w:tc>
        <w:tc>
          <w:tcPr>
            <w:tcW w:w="1410" w:type="dxa"/>
            <w:noWrap w:val="0"/>
            <w:vAlign w:val="center"/>
          </w:tcPr>
          <w:p w14:paraId="0A92842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54.0</w:t>
            </w:r>
          </w:p>
        </w:tc>
        <w:tc>
          <w:tcPr>
            <w:tcW w:w="1331" w:type="dxa"/>
            <w:noWrap/>
            <w:vAlign w:val="center"/>
          </w:tcPr>
          <w:p w14:paraId="113FE44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-0.8</w:t>
            </w:r>
          </w:p>
        </w:tc>
      </w:tr>
      <w:tr w14:paraId="6C6081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 w14:paraId="715FF95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资金周转率</w:t>
            </w:r>
          </w:p>
        </w:tc>
        <w:tc>
          <w:tcPr>
            <w:tcW w:w="1240" w:type="dxa"/>
            <w:noWrap/>
            <w:vAlign w:val="center"/>
          </w:tcPr>
          <w:p w14:paraId="3846438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230" w:type="dxa"/>
            <w:noWrap/>
            <w:vAlign w:val="center"/>
          </w:tcPr>
          <w:p w14:paraId="23822B8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54.1</w:t>
            </w:r>
          </w:p>
        </w:tc>
        <w:tc>
          <w:tcPr>
            <w:tcW w:w="1275" w:type="dxa"/>
            <w:noWrap w:val="0"/>
            <w:vAlign w:val="center"/>
          </w:tcPr>
          <w:p w14:paraId="6CBEE48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-0.6</w:t>
            </w:r>
          </w:p>
        </w:tc>
        <w:tc>
          <w:tcPr>
            <w:tcW w:w="1410" w:type="dxa"/>
            <w:noWrap w:val="0"/>
            <w:vAlign w:val="center"/>
          </w:tcPr>
          <w:p w14:paraId="7CC2E07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51.9</w:t>
            </w:r>
          </w:p>
        </w:tc>
        <w:tc>
          <w:tcPr>
            <w:tcW w:w="1331" w:type="dxa"/>
            <w:noWrap/>
            <w:vAlign w:val="center"/>
          </w:tcPr>
          <w:p w14:paraId="0E16D72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1.6</w:t>
            </w:r>
          </w:p>
        </w:tc>
      </w:tr>
      <w:tr w14:paraId="268DC9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18" w:type="dxa"/>
            <w:noWrap/>
            <w:vAlign w:val="bottom"/>
          </w:tcPr>
          <w:p w14:paraId="4B45DBD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主营业务利润</w:t>
            </w:r>
          </w:p>
        </w:tc>
        <w:tc>
          <w:tcPr>
            <w:tcW w:w="1240" w:type="dxa"/>
            <w:noWrap/>
            <w:vAlign w:val="center"/>
          </w:tcPr>
          <w:p w14:paraId="74767C4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40.0</w:t>
            </w:r>
          </w:p>
        </w:tc>
        <w:tc>
          <w:tcPr>
            <w:tcW w:w="1230" w:type="dxa"/>
            <w:noWrap/>
            <w:vAlign w:val="center"/>
          </w:tcPr>
          <w:p w14:paraId="74829DE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42.9</w:t>
            </w:r>
          </w:p>
        </w:tc>
        <w:tc>
          <w:tcPr>
            <w:tcW w:w="1275" w:type="dxa"/>
            <w:noWrap w:val="0"/>
            <w:vAlign w:val="center"/>
          </w:tcPr>
          <w:p w14:paraId="02BCAB7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-2.9</w:t>
            </w:r>
          </w:p>
        </w:tc>
        <w:tc>
          <w:tcPr>
            <w:tcW w:w="1410" w:type="dxa"/>
            <w:noWrap w:val="0"/>
            <w:vAlign w:val="center"/>
          </w:tcPr>
          <w:p w14:paraId="5FB55BA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43.4</w:t>
            </w:r>
          </w:p>
        </w:tc>
        <w:tc>
          <w:tcPr>
            <w:tcW w:w="1331" w:type="dxa"/>
            <w:noWrap/>
            <w:vAlign w:val="center"/>
          </w:tcPr>
          <w:p w14:paraId="36560F7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-3.4</w:t>
            </w:r>
          </w:p>
        </w:tc>
      </w:tr>
    </w:tbl>
    <w:p w14:paraId="0BAFFC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表  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月福州市物流业景气指数（LPI）环比、同比变化情况</w:t>
      </w:r>
    </w:p>
    <w:p w14:paraId="3700FA5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</w:pPr>
    </w:p>
    <w:p w14:paraId="1BB480C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kern w:val="2"/>
          <w:sz w:val="32"/>
          <w:szCs w:val="32"/>
        </w:rPr>
        <w:t>新订单指数有所回落，但</w:t>
      </w:r>
      <w:r>
        <w:rPr>
          <w:rFonts w:hint="eastAsia" w:ascii="仿宋_GB2312" w:eastAsia="仿宋_GB2312"/>
          <w:kern w:val="2"/>
          <w:sz w:val="32"/>
          <w:szCs w:val="32"/>
        </w:rPr>
        <w:t>装卸搬运和仓储业新订</w:t>
      </w:r>
      <w:r>
        <w:rPr>
          <w:rFonts w:hint="eastAsia" w:ascii="仿宋_GB2312" w:hAnsi="仿宋" w:eastAsia="仿宋_GB2312"/>
          <w:kern w:val="2"/>
          <w:sz w:val="32"/>
          <w:szCs w:val="32"/>
        </w:rPr>
        <w:t>单指数回升幅度较大。</w:t>
      </w:r>
      <w:r>
        <w:rPr>
          <w:rFonts w:ascii="仿宋" w:hAnsi="仿宋" w:eastAsia="仿宋"/>
          <w:b w:val="0"/>
          <w:bCs w:val="0"/>
          <w:kern w:val="2"/>
          <w:sz w:val="32"/>
          <w:szCs w:val="32"/>
        </w:rPr>
        <w:t>10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月份，福州市物流新订单指数为52.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%，较上月回落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eastAsia="仿宋_GB2312"/>
          <w:sz w:val="32"/>
          <w:szCs w:val="32"/>
        </w:rPr>
        <w:t>分行业看，主要是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运输业新订单指数为5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%，较上月回落2.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个百分点；多式联运和运输代理业新订单指数为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46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%，较上月回升0.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个百分点；装卸搬运和仓储业新订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%，较上月回升1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5A级企业新订单指数较上月回落2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4A级企业新订单指数较上月回升6.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3A级企业新订单指数较上月回落6.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%。</w:t>
      </w:r>
    </w:p>
    <w:p w14:paraId="1B6633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业务总量指数有所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回落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，但</w:t>
      </w:r>
      <w:r>
        <w:rPr>
          <w:rFonts w:hint="eastAsia" w:ascii="仿宋_GB2312" w:hAnsi="仿宋" w:eastAsia="仿宋_GB2312"/>
          <w:b/>
          <w:sz w:val="32"/>
          <w:szCs w:val="32"/>
        </w:rPr>
        <w:t>多式联运和运输代理业业务总量指数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实现</w:t>
      </w:r>
      <w:r>
        <w:rPr>
          <w:rFonts w:hint="eastAsia" w:ascii="仿宋_GB2312" w:hAnsi="仿宋" w:eastAsia="仿宋_GB2312"/>
          <w:b/>
          <w:sz w:val="32"/>
          <w:szCs w:val="32"/>
        </w:rPr>
        <w:t>较快增长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月份，福州市物流业务总量指数为53.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.7个百分点。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运输业业务总量指数为5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个百分点；多式联运和运输代理业业务总量指数为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%，较上月回升9.6个百分点；装卸搬运和仓储业业务总量指数为</w:t>
      </w:r>
      <w:r>
        <w:rPr>
          <w:rFonts w:ascii="仿宋_GB2312" w:hAnsi="仿宋" w:eastAsia="仿宋_GB2312"/>
          <w:sz w:val="32"/>
          <w:szCs w:val="32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Cs/>
          <w:sz w:val="32"/>
          <w:szCs w:val="32"/>
        </w:rPr>
        <w:t>5A</w:t>
      </w:r>
      <w:r>
        <w:rPr>
          <w:rFonts w:hint="eastAsia" w:ascii="仿宋_GB2312" w:hAnsi="仿宋" w:eastAsia="仿宋_GB2312"/>
          <w:sz w:val="32"/>
          <w:szCs w:val="32"/>
        </w:rPr>
        <w:t>级企业业务总量指数较上月回落3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47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%；4A级企业业务总量指数较上月回升9.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63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%；3A级企业业务总量指数较上月回落11.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42</w:t>
      </w:r>
      <w:r>
        <w:rPr>
          <w:rFonts w:hint="eastAsia" w:ascii="仿宋_GB2312" w:hAnsi="仿宋" w:eastAsia="仿宋_GB2312"/>
          <w:sz w:val="32"/>
          <w:szCs w:val="32"/>
        </w:rPr>
        <w:t>.8%。</w:t>
      </w:r>
    </w:p>
    <w:p w14:paraId="74815FE0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578475" cy="2995930"/>
            <wp:effectExtent l="0" t="0" r="3175" b="1397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5E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图2  2023年1月-2024年10月分月福州市物流业务总量指数图</w:t>
      </w:r>
    </w:p>
    <w:p w14:paraId="4177C3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 w14:paraId="05A68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从业人员指数继续回升，就业状况稳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步</w:t>
      </w:r>
      <w:r>
        <w:rPr>
          <w:rFonts w:hint="eastAsia" w:ascii="仿宋_GB2312" w:hAnsi="___WRD_EMBED_SUB_39" w:eastAsia="仿宋_GB2312" w:cs="___WRD_EMBED_SUB_39"/>
          <w:b/>
          <w:bCs/>
          <w:color w:val="auto"/>
          <w:sz w:val="32"/>
          <w:szCs w:val="32"/>
        </w:rPr>
        <w:t>加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强</w:t>
      </w:r>
      <w:r>
        <w:rPr>
          <w:rFonts w:hint="eastAsia" w:ascii="仿宋_GB2312" w:hAnsi="___WRD_EMBED_SUB_39" w:eastAsia="仿宋_GB2312" w:cs="___WRD_EMBED_SUB_39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10月份，福州市物流从业人员指数较上月回升0.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运输业从业人员指数为5</w:t>
      </w:r>
      <w:r>
        <w:rPr>
          <w:rFonts w:ascii="仿宋_GB2312" w:hAnsi="仿宋" w:eastAsia="仿宋_GB2312"/>
          <w:sz w:val="32"/>
          <w:szCs w:val="32"/>
        </w:rPr>
        <w:t>4.3</w:t>
      </w:r>
      <w:r>
        <w:rPr>
          <w:rFonts w:hint="eastAsia" w:ascii="仿宋_GB2312" w:hAnsi="仿宋" w:eastAsia="仿宋_GB2312"/>
          <w:sz w:val="32"/>
          <w:szCs w:val="32"/>
        </w:rPr>
        <w:t>%，较上月回升1.7个百分点；装卸搬运和仓储业从业人员指数为6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%，较上月回升3.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个百分点；多式联运和运输代理业从业人员指数为</w:t>
      </w:r>
      <w:r>
        <w:rPr>
          <w:rFonts w:ascii="仿宋_GB2312" w:hAnsi="仿宋" w:eastAsia="仿宋_GB2312"/>
          <w:sz w:val="32"/>
          <w:szCs w:val="32"/>
        </w:rPr>
        <w:t>52.1</w:t>
      </w:r>
      <w:r>
        <w:rPr>
          <w:rFonts w:hint="eastAsia" w:ascii="仿宋_GB2312" w:hAnsi="仿宋" w:eastAsia="仿宋_GB2312"/>
          <w:sz w:val="32"/>
          <w:szCs w:val="32"/>
        </w:rPr>
        <w:t>%，较上月回落3.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5A级企业从业人员指数较上月回升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2.1</w:t>
      </w:r>
      <w:r>
        <w:rPr>
          <w:rFonts w:hint="eastAsia" w:ascii="仿宋_GB2312" w:hAnsi="仿宋" w:eastAsia="仿宋_GB2312"/>
          <w:sz w:val="32"/>
          <w:szCs w:val="32"/>
        </w:rPr>
        <w:t>%；4A级企业从业人员指数较上月回升0.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个百分点，为58</w:t>
      </w:r>
      <w:r>
        <w:rPr>
          <w:rFonts w:ascii="仿宋_GB2312" w:hAnsi="仿宋" w:eastAsia="仿宋_GB2312"/>
          <w:sz w:val="32"/>
          <w:szCs w:val="32"/>
        </w:rPr>
        <w:t>.9</w:t>
      </w:r>
      <w:r>
        <w:rPr>
          <w:rFonts w:hint="eastAsia" w:ascii="仿宋_GB2312" w:hAnsi="仿宋" w:eastAsia="仿宋_GB2312"/>
          <w:sz w:val="32"/>
          <w:szCs w:val="32"/>
        </w:rPr>
        <w:t>%；3A级企业从业人员指数较上月回落8.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0.5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 w14:paraId="30413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资金周转率指数有所下滑，但仍处于较高景气</w:t>
      </w:r>
      <w:r>
        <w:rPr>
          <w:rStyle w:val="13"/>
          <w:rFonts w:hint="eastAsia" w:ascii="仿宋_GB2312" w:hAnsi="宋体" w:eastAsia="仿宋_GB2312" w:cs="宋体"/>
          <w:sz w:val="32"/>
          <w:szCs w:val="32"/>
        </w:rPr>
        <w:t>区间</w:t>
      </w:r>
      <w:r>
        <w:rPr>
          <w:rStyle w:val="13"/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仿宋_GB2312" w:hAnsi="___WRD_EMBED_SUB_39" w:eastAsia="仿宋_GB2312" w:cs="___WRD_EMBED_SUB_39"/>
          <w:bCs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月份，福州市物流资金周转率指数为5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虽</w:t>
      </w:r>
      <w:r>
        <w:rPr>
          <w:rFonts w:hint="eastAsia" w:ascii="仿宋_GB2312" w:hAnsi="仿宋" w:eastAsia="仿宋_GB2312"/>
          <w:sz w:val="32"/>
          <w:szCs w:val="32"/>
        </w:rPr>
        <w:t>较上月回落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但依然保持在较高景气区间，</w:t>
      </w:r>
      <w:r>
        <w:rPr>
          <w:rFonts w:hint="eastAsia" w:ascii="仿宋_GB2312" w:hAnsi="仿宋" w:eastAsia="仿宋_GB2312"/>
          <w:sz w:val="32"/>
          <w:szCs w:val="32"/>
        </w:rPr>
        <w:t>表明物流企业资金</w:t>
      </w:r>
      <w:r>
        <w:rPr>
          <w:rStyle w:val="13"/>
          <w:rFonts w:hint="eastAsia" w:ascii="仿宋_GB2312" w:hAnsi="仿宋" w:eastAsia="仿宋_GB2312"/>
          <w:b w:val="0"/>
          <w:bCs w:val="0"/>
          <w:sz w:val="32"/>
          <w:szCs w:val="32"/>
        </w:rPr>
        <w:t>环境仍较为宽松</w:t>
      </w:r>
      <w:r>
        <w:rPr>
          <w:rFonts w:hint="eastAsia" w:ascii="仿宋_GB2312" w:hAnsi="___WRD_EMBED_SUB_39" w:eastAsia="仿宋_GB2312" w:cs="___WRD_EMBED_SUB_39"/>
          <w:sz w:val="32"/>
          <w:szCs w:val="32"/>
        </w:rPr>
        <w:t>。</w:t>
      </w:r>
    </w:p>
    <w:p w14:paraId="363C9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物流企业主营业务成本指数持续下降，</w:t>
      </w: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但</w:t>
      </w:r>
      <w:r>
        <w:rPr>
          <w:rFonts w:hint="eastAsia" w:ascii="仿宋_GB2312" w:hAnsi="Arial" w:eastAsia="仿宋_GB2312" w:cs="Arial"/>
          <w:b/>
          <w:sz w:val="32"/>
          <w:szCs w:val="32"/>
          <w:shd w:val="clear" w:color="auto" w:fill="FFFFFF"/>
        </w:rPr>
        <w:t>盈利能力</w:t>
      </w:r>
      <w:r>
        <w:rPr>
          <w:rFonts w:hint="eastAsia" w:ascii="仿宋_GB2312" w:hAnsi="Arial" w:eastAsia="仿宋_GB2312" w:cs="Arial"/>
          <w:b/>
          <w:sz w:val="32"/>
          <w:szCs w:val="32"/>
          <w:shd w:val="clear" w:color="auto" w:fill="FFFFFF"/>
          <w:lang w:val="en-US" w:eastAsia="zh-CN"/>
        </w:rPr>
        <w:t>依然较弱</w:t>
      </w:r>
      <w:r>
        <w:rPr>
          <w:rStyle w:val="13"/>
          <w:rFonts w:hint="eastAsia" w:ascii="仿宋_GB2312" w:hAnsi="仿宋" w:eastAsia="仿宋_GB2312"/>
          <w:sz w:val="32"/>
          <w:szCs w:val="32"/>
        </w:rPr>
        <w:t>。</w:t>
      </w:r>
      <w:r>
        <w:rPr>
          <w:rStyle w:val="13"/>
          <w:rFonts w:ascii="仿宋_GB2312" w:hAnsi="仿宋" w:eastAsia="仿宋_GB2312"/>
          <w:b w:val="0"/>
          <w:bCs w:val="0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月份，福州市物流主营业务成本指数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/>
          <w:sz w:val="32"/>
          <w:szCs w:val="32"/>
        </w:rPr>
        <w:t>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.7个百分点，为49.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等线 Light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业务利润指数较</w:t>
      </w:r>
      <w:r>
        <w:rPr>
          <w:rFonts w:hint="eastAsia" w:ascii="仿宋_GB2312" w:hAnsi="仿宋" w:eastAsia="仿宋_GB2312"/>
          <w:sz w:val="32"/>
          <w:szCs w:val="32"/>
        </w:rPr>
        <w:t>上月回落2.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反映物流企业经营成本虽然得到一定程度的控制，但受</w:t>
      </w:r>
      <w:r>
        <w:rPr>
          <w:rFonts w:hint="eastAsia" w:ascii="仿宋_GB2312" w:hAnsi="仿宋" w:eastAsia="仿宋_GB2312"/>
          <w:sz w:val="32"/>
          <w:szCs w:val="32"/>
        </w:rPr>
        <w:t>物流服务价格指数等因素影响，</w:t>
      </w:r>
      <w:r>
        <w:rPr>
          <w:rFonts w:hint="eastAsia" w:ascii="仿宋_GB2312" w:hAnsi="PingFangSC-Regular" w:eastAsia="仿宋_GB2312"/>
          <w:sz w:val="32"/>
          <w:szCs w:val="32"/>
          <w:shd w:val="clear" w:color="auto" w:fill="FFFFFF"/>
        </w:rPr>
        <w:t>主营业务利润指数回落幅度较大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，盈利能力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依然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较弱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此外，</w:t>
      </w:r>
      <w:r>
        <w:rPr>
          <w:rFonts w:hint="eastAsia" w:ascii="仿宋_GB2312" w:hAnsi="仿宋" w:eastAsia="仿宋_GB2312"/>
          <w:sz w:val="32"/>
          <w:szCs w:val="32"/>
        </w:rPr>
        <w:t>物流服务价格指数较上月回落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个百分点，为55.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 w14:paraId="56E5C3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平均库存量指数高</w:t>
      </w:r>
      <w:bookmarkStart w:id="0" w:name="_GoBack"/>
      <w:bookmarkEnd w:id="0"/>
      <w:r>
        <w:rPr>
          <w:rFonts w:hint="eastAsia" w:ascii="仿宋_GB2312" w:hAnsi="Times New Roman" w:eastAsia="仿宋_GB2312"/>
          <w:b/>
          <w:bCs/>
          <w:sz w:val="32"/>
          <w:szCs w:val="32"/>
        </w:rPr>
        <w:t>位回落，库存周转次数指数走缓。</w:t>
      </w:r>
      <w:r>
        <w:rPr>
          <w:rFonts w:ascii="仿宋_GB2312" w:hAnsi="Times New Roman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月份，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福州市物流</w:t>
      </w:r>
      <w:r>
        <w:rPr>
          <w:rFonts w:hint="eastAsia" w:ascii="仿宋_GB2312" w:hAnsi="仿宋" w:eastAsia="仿宋_GB2312"/>
          <w:sz w:val="32"/>
          <w:szCs w:val="32"/>
        </w:rPr>
        <w:t>平均库存量指数为</w:t>
      </w:r>
      <w:r>
        <w:rPr>
          <w:rFonts w:ascii="仿宋_GB2312" w:hAnsi="仿宋" w:eastAsia="仿宋_GB2312"/>
          <w:sz w:val="32"/>
          <w:szCs w:val="32"/>
        </w:rPr>
        <w:t>59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%，较上月回落0.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个百分点；库存周转次数指数为5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%，较上月回落0.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等线" w:eastAsia="仿宋_GB2312"/>
          <w:sz w:val="32"/>
          <w:szCs w:val="32"/>
        </w:rPr>
        <w:t>两项指数双双回落，反映商品储备、周转活动</w:t>
      </w:r>
      <w:r>
        <w:rPr>
          <w:rFonts w:hint="eastAsia" w:ascii="仿宋_GB2312" w:hAnsi="仿宋" w:eastAsia="仿宋_GB2312"/>
          <w:sz w:val="32"/>
          <w:szCs w:val="32"/>
        </w:rPr>
        <w:t>均有所减缓</w:t>
      </w:r>
      <w:r>
        <w:rPr>
          <w:rFonts w:hint="eastAsia" w:ascii="仿宋_GB2312" w:hAnsi="仿宋" w:eastAsia="仿宋_GB2312" w:cs="___WRD_EMBED_SUB_40"/>
          <w:sz w:val="32"/>
          <w:szCs w:val="32"/>
        </w:rPr>
        <w:t>。</w:t>
      </w:r>
    </w:p>
    <w:p w14:paraId="54C9BF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此外，福州市物流固定资产投资完成额指数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上月持平，为46.0%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B22C9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从后期走势看，</w:t>
      </w:r>
      <w:r>
        <w:rPr>
          <w:rFonts w:hint="eastAsia" w:ascii="仿宋_GB2312" w:hAnsi="___WRD_EMBED_SUB_39" w:eastAsia="仿宋_GB2312" w:cs="___WRD_EMBED_SUB_39"/>
          <w:bCs/>
          <w:sz w:val="32"/>
          <w:szCs w:val="32"/>
        </w:rPr>
        <w:t>随着利好市场发展的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积极</w:t>
      </w:r>
      <w:r>
        <w:rPr>
          <w:rFonts w:hint="eastAsia" w:ascii="仿宋_GB2312" w:hAnsi="___WRD_EMBED_SUB_39" w:eastAsia="仿宋_GB2312" w:cs="___WRD_EMBED_SUB_39"/>
          <w:bCs/>
          <w:sz w:val="32"/>
          <w:szCs w:val="32"/>
        </w:rPr>
        <w:t>因素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不断</w:t>
      </w:r>
      <w:r>
        <w:rPr>
          <w:rFonts w:hint="eastAsia" w:ascii="仿宋_GB2312" w:hAnsi="___WRD_EMBED_SUB_39" w:eastAsia="仿宋_GB2312" w:cs="___WRD_EMBED_SUB_39"/>
          <w:bCs/>
          <w:sz w:val="32"/>
          <w:szCs w:val="32"/>
        </w:rPr>
        <w:t>累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积</w:t>
      </w:r>
      <w:r>
        <w:rPr>
          <w:rFonts w:hint="eastAsia" w:ascii="仿宋_GB2312" w:hAnsi="___WRD_EMBED_SUB_39" w:eastAsia="仿宋_GB2312" w:cs="___WRD_EMBED_SUB_39"/>
          <w:bCs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以及</w:t>
      </w:r>
      <w:r>
        <w:rPr>
          <w:rFonts w:hint="eastAsia" w:ascii="仿宋_GB2312" w:hAnsi="仿宋" w:eastAsia="仿宋_GB2312"/>
          <w:sz w:val="32"/>
          <w:szCs w:val="32"/>
        </w:rPr>
        <w:t>福州市物流业务活动预期指数、新订单指数仍处于52.0%</w:t>
      </w:r>
      <w:r>
        <w:rPr>
          <w:rFonts w:hint="eastAsia" w:ascii="仿宋_GB2312" w:hAnsi="宋体" w:eastAsia="仿宋_GB2312" w:cs="宋体"/>
          <w:sz w:val="32"/>
          <w:szCs w:val="32"/>
        </w:rPr>
        <w:t>以上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较高景气区间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</w:rPr>
        <w:t>物流业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将</w:t>
      </w:r>
      <w:r>
        <w:rPr>
          <w:rFonts w:hint="eastAsia" w:ascii="仿宋_GB2312" w:hAnsi="宋体" w:eastAsia="仿宋_GB2312"/>
          <w:bCs/>
          <w:sz w:val="32"/>
          <w:szCs w:val="32"/>
        </w:rPr>
        <w:t>保持平稳发展。</w:t>
      </w:r>
    </w:p>
    <w:p w14:paraId="6584BB37">
      <w:pPr>
        <w:widowControl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39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SC-Regular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___WRD_EMBED_SUB_40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48150">
    <w:pPr>
      <w:pStyle w:val="7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A1F47F3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76427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18C519F"/>
    <w:rsid w:val="020E3E06"/>
    <w:rsid w:val="030B6BED"/>
    <w:rsid w:val="047606E8"/>
    <w:rsid w:val="075C0D14"/>
    <w:rsid w:val="077761C9"/>
    <w:rsid w:val="08013FD7"/>
    <w:rsid w:val="0A8C7778"/>
    <w:rsid w:val="0E9933E2"/>
    <w:rsid w:val="0EB616D0"/>
    <w:rsid w:val="1178570B"/>
    <w:rsid w:val="12014081"/>
    <w:rsid w:val="142718EA"/>
    <w:rsid w:val="152139F9"/>
    <w:rsid w:val="156E7B63"/>
    <w:rsid w:val="15C446A5"/>
    <w:rsid w:val="15F2306D"/>
    <w:rsid w:val="18055AFC"/>
    <w:rsid w:val="188D1AD1"/>
    <w:rsid w:val="19F01FE9"/>
    <w:rsid w:val="1C153019"/>
    <w:rsid w:val="1CCE26B8"/>
    <w:rsid w:val="1D024695"/>
    <w:rsid w:val="1D110EBE"/>
    <w:rsid w:val="1E84555D"/>
    <w:rsid w:val="2012124E"/>
    <w:rsid w:val="218F1533"/>
    <w:rsid w:val="228F25C9"/>
    <w:rsid w:val="235D7919"/>
    <w:rsid w:val="247C6164"/>
    <w:rsid w:val="2533312E"/>
    <w:rsid w:val="255F4BB4"/>
    <w:rsid w:val="274F0675"/>
    <w:rsid w:val="280E28B8"/>
    <w:rsid w:val="29B71947"/>
    <w:rsid w:val="2CF46108"/>
    <w:rsid w:val="2D6C7C1D"/>
    <w:rsid w:val="2E020414"/>
    <w:rsid w:val="2F2263AE"/>
    <w:rsid w:val="2FA74954"/>
    <w:rsid w:val="30D34724"/>
    <w:rsid w:val="322E3BE4"/>
    <w:rsid w:val="33516BCC"/>
    <w:rsid w:val="34931CE7"/>
    <w:rsid w:val="381407FB"/>
    <w:rsid w:val="3A267B8D"/>
    <w:rsid w:val="3B0A7F94"/>
    <w:rsid w:val="3CD75501"/>
    <w:rsid w:val="3D3D4415"/>
    <w:rsid w:val="3D9F5870"/>
    <w:rsid w:val="3FD9040F"/>
    <w:rsid w:val="412A5860"/>
    <w:rsid w:val="41B8211C"/>
    <w:rsid w:val="44496945"/>
    <w:rsid w:val="48351AAB"/>
    <w:rsid w:val="49FD11D8"/>
    <w:rsid w:val="4A606088"/>
    <w:rsid w:val="4E636EDA"/>
    <w:rsid w:val="4ED2570C"/>
    <w:rsid w:val="50832461"/>
    <w:rsid w:val="5291761C"/>
    <w:rsid w:val="54A43628"/>
    <w:rsid w:val="58A861AA"/>
    <w:rsid w:val="60DB07F5"/>
    <w:rsid w:val="61C2296E"/>
    <w:rsid w:val="626543C4"/>
    <w:rsid w:val="63C63088"/>
    <w:rsid w:val="64922D58"/>
    <w:rsid w:val="69181A33"/>
    <w:rsid w:val="69F12B0F"/>
    <w:rsid w:val="6D521B17"/>
    <w:rsid w:val="70125253"/>
    <w:rsid w:val="731260AA"/>
    <w:rsid w:val="73FF26E3"/>
    <w:rsid w:val="741D62AC"/>
    <w:rsid w:val="743E1B69"/>
    <w:rsid w:val="750A79A8"/>
    <w:rsid w:val="7AB6570D"/>
    <w:rsid w:val="7ACB4CB6"/>
    <w:rsid w:val="7B441D18"/>
    <w:rsid w:val="7B513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autoRedefine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autoRedefine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autoRedefine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autoRedefine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autoRedefine/>
    <w:qFormat/>
    <w:uiPriority w:val="22"/>
    <w:rPr>
      <w:rFonts w:cs="Times New Roman"/>
      <w:b/>
      <w:bCs/>
    </w:rPr>
  </w:style>
  <w:style w:type="character" w:styleId="14">
    <w:name w:val="endnote reference"/>
    <w:basedOn w:val="12"/>
    <w:autoRedefine/>
    <w:semiHidden/>
    <w:unhideWhenUsed/>
    <w:qFormat/>
    <w:uiPriority w:val="99"/>
    <w:rPr>
      <w:vertAlign w:val="superscript"/>
    </w:rPr>
  </w:style>
  <w:style w:type="character" w:styleId="15">
    <w:name w:val="Emphasis"/>
    <w:autoRedefine/>
    <w:qFormat/>
    <w:uiPriority w:val="99"/>
    <w:rPr>
      <w:rFonts w:cs="Times New Roman"/>
      <w:i/>
      <w:iCs/>
    </w:rPr>
  </w:style>
  <w:style w:type="character" w:styleId="16">
    <w:name w:val="Hyperlink"/>
    <w:autoRedefine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autoRedefine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autoRedefine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autoRedefine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apple-converted-space"/>
    <w:autoRedefine/>
    <w:qFormat/>
    <w:uiPriority w:val="99"/>
    <w:rPr>
      <w:rFonts w:cs="Times New Roman"/>
    </w:rPr>
  </w:style>
  <w:style w:type="character" w:customStyle="1" w:styleId="25">
    <w:name w:val="font41"/>
    <w:autoRedefine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autoRedefine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autoRedefine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autoRedefine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autoRedefine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autoRedefine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autoRedefine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1560</Words>
  <Characters>2001</Characters>
  <Lines>42</Lines>
  <Paragraphs>12</Paragraphs>
  <TotalTime>92</TotalTime>
  <ScaleCrop>false</ScaleCrop>
  <LinksUpToDate>false</LinksUpToDate>
  <CharactersWithSpaces>2008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2021-08-19T02:40:00Z</dcterms:created>
  <dc:creator>微软用户</dc:creator>
  <cp:lastModifiedBy>Li思忆</cp:lastModifiedBy>
  <dcterms:modified xsi:type="dcterms:W3CDTF">2024-11-22T09:44:41Z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E340863A18754798A793C4035C8A294B</vt:lpwstr>
  </property>
</Properties>
</file>