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202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年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上半年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福州市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物流业景气指数（LPI)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情况</w:t>
      </w:r>
    </w:p>
    <w:p>
      <w:pPr>
        <w:jc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ind w:firstLine="560" w:firstLineChars="200"/>
        <w:rPr>
          <w:sz w:val="28"/>
          <w:szCs w:val="28"/>
        </w:rPr>
      </w:pPr>
      <w:r>
        <w:rPr>
          <w:rFonts w:hint="eastAsia" w:asciiTheme="majorEastAsia" w:hAnsiTheme="majorEastAsia" w:eastAsiaTheme="majorEastAsia"/>
          <w:kern w:val="0"/>
          <w:sz w:val="28"/>
          <w:szCs w:val="28"/>
          <w:lang w:val="en-US" w:eastAsia="zh-CN"/>
        </w:rPr>
        <w:t>2022年</w:t>
      </w:r>
      <w:r>
        <w:rPr>
          <w:rFonts w:hint="eastAsia" w:asciiTheme="majorEastAsia" w:hAnsiTheme="majorEastAsia" w:eastAsiaTheme="majorEastAsia"/>
          <w:kern w:val="0"/>
          <w:sz w:val="28"/>
          <w:szCs w:val="28"/>
        </w:rPr>
        <w:t>上半年，</w:t>
      </w:r>
      <w:r>
        <w:rPr>
          <w:rFonts w:hint="eastAsia"/>
          <w:sz w:val="28"/>
          <w:szCs w:val="28"/>
        </w:rPr>
        <w:t>全市上下深入贯彻落实全国稳住经济大盘电视电话会议精神，坚持稳字当头，高效统筹疫情防控和经济社会发展，采取有效措施保持物流业运行在合理区间。</w:t>
      </w:r>
      <w:r>
        <w:rPr>
          <w:rFonts w:hint="eastAsia" w:asciiTheme="majorEastAsia" w:hAnsiTheme="majorEastAsia" w:eastAsiaTheme="majorEastAsia"/>
          <w:sz w:val="28"/>
          <w:szCs w:val="28"/>
        </w:rPr>
        <w:t>上半年，全市物流业景气指数（</w:t>
      </w:r>
      <w:r>
        <w:rPr>
          <w:rFonts w:asciiTheme="majorEastAsia" w:hAnsiTheme="majorEastAsia" w:eastAsiaTheme="majorEastAsia"/>
          <w:sz w:val="28"/>
          <w:szCs w:val="28"/>
        </w:rPr>
        <w:t>LPI)</w:t>
      </w:r>
      <w:r>
        <w:rPr>
          <w:rFonts w:hint="eastAsia" w:asciiTheme="majorEastAsia" w:hAnsiTheme="majorEastAsia" w:eastAsiaTheme="majorEastAsia"/>
          <w:sz w:val="28"/>
          <w:szCs w:val="28"/>
        </w:rPr>
        <w:t>均保持在5</w:t>
      </w:r>
      <w:r>
        <w:rPr>
          <w:rFonts w:asciiTheme="majorEastAsia" w:hAnsiTheme="majorEastAsia" w:eastAsiaTheme="majorEastAsia"/>
          <w:sz w:val="28"/>
          <w:szCs w:val="28"/>
        </w:rPr>
        <w:t>2</w:t>
      </w:r>
      <w:r>
        <w:rPr>
          <w:rFonts w:hint="eastAsia" w:asciiTheme="majorEastAsia" w:hAnsiTheme="majorEastAsia" w:eastAsiaTheme="majorEastAsia"/>
          <w:sz w:val="28"/>
          <w:szCs w:val="28"/>
        </w:rPr>
        <w:t>.0%以上（见图1），平均值为5</w:t>
      </w:r>
      <w:r>
        <w:rPr>
          <w:rFonts w:asciiTheme="majorEastAsia" w:hAnsiTheme="majorEastAsia" w:eastAsiaTheme="majorEastAsia"/>
          <w:sz w:val="28"/>
          <w:szCs w:val="28"/>
        </w:rPr>
        <w:t>2</w:t>
      </w:r>
      <w:r>
        <w:rPr>
          <w:rFonts w:hint="eastAsia" w:asciiTheme="majorEastAsia" w:hAnsiTheme="majorEastAsia" w:eastAsiaTheme="majorEastAsia"/>
          <w:sz w:val="28"/>
          <w:szCs w:val="28"/>
        </w:rPr>
        <w:t>.</w:t>
      </w:r>
      <w:r>
        <w:rPr>
          <w:rFonts w:asciiTheme="majorEastAsia" w:hAnsiTheme="majorEastAsia" w:eastAsiaTheme="majorEastAsia"/>
          <w:sz w:val="28"/>
          <w:szCs w:val="28"/>
        </w:rPr>
        <w:t>8</w:t>
      </w:r>
      <w:r>
        <w:rPr>
          <w:rFonts w:hint="eastAsia" w:asciiTheme="majorEastAsia" w:hAnsiTheme="majorEastAsia" w:eastAsiaTheme="majorEastAsia"/>
          <w:sz w:val="28"/>
          <w:szCs w:val="28"/>
        </w:rPr>
        <w:t>%</w:t>
      </w:r>
      <w:r>
        <w:rPr>
          <w:rFonts w:hint="eastAsia" w:asciiTheme="majorEastAsia" w:hAnsiTheme="majorEastAsia" w:eastAsiaTheme="majorEastAsia"/>
          <w:sz w:val="28"/>
          <w:szCs w:val="28"/>
          <w:lang w:eastAsia="zh-CN"/>
        </w:rPr>
        <w:t>，</w:t>
      </w:r>
      <w:r>
        <w:rPr>
          <w:rFonts w:hint="eastAsia" w:asciiTheme="majorEastAsia" w:hAnsiTheme="majorEastAsia" w:eastAsiaTheme="majorEastAsia"/>
          <w:sz w:val="28"/>
          <w:szCs w:val="28"/>
        </w:rPr>
        <w:t>总体</w:t>
      </w:r>
      <w:r>
        <w:rPr>
          <w:rFonts w:hint="eastAsia"/>
          <w:sz w:val="28"/>
          <w:szCs w:val="28"/>
        </w:rPr>
        <w:t>呈稳中加固良好</w:t>
      </w:r>
      <w:r>
        <w:rPr>
          <w:rFonts w:hint="eastAsia" w:asciiTheme="majorEastAsia" w:hAnsiTheme="majorEastAsia" w:eastAsiaTheme="majorEastAsia"/>
          <w:sz w:val="28"/>
          <w:szCs w:val="28"/>
          <w:shd w:val="clear" w:color="auto" w:fill="FFFFFF"/>
        </w:rPr>
        <w:t>态势</w:t>
      </w:r>
      <w:r>
        <w:rPr>
          <w:rFonts w:hint="eastAsia"/>
          <w:sz w:val="28"/>
          <w:szCs w:val="28"/>
        </w:rPr>
        <w:t>。</w:t>
      </w:r>
    </w:p>
    <w:p>
      <w:pPr>
        <w:spacing w:line="480" w:lineRule="auto"/>
        <w:jc w:val="center"/>
        <w:rPr>
          <w:rFonts w:cs="Arial" w:asciiTheme="majorEastAsia" w:hAnsiTheme="majorEastAsia" w:eastAsiaTheme="majorEastAsia"/>
          <w:b/>
          <w:kern w:val="0"/>
          <w:sz w:val="24"/>
          <w:szCs w:val="24"/>
        </w:rPr>
      </w:pPr>
      <w:r>
        <w:drawing>
          <wp:inline distT="0" distB="0" distL="0" distR="0">
            <wp:extent cx="5514975" cy="2609850"/>
            <wp:effectExtent l="0" t="0" r="0" b="0"/>
            <wp:docPr id="2" name="图表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>
      <w:pPr>
        <w:spacing w:line="480" w:lineRule="auto"/>
        <w:ind w:firstLine="1958" w:firstLineChars="929"/>
        <w:rPr>
          <w:rFonts w:cs="Arial" w:asciiTheme="majorEastAsia" w:hAnsiTheme="majorEastAsia" w:eastAsiaTheme="majorEastAsia"/>
          <w:b/>
          <w:kern w:val="0"/>
          <w:szCs w:val="21"/>
        </w:rPr>
      </w:pPr>
      <w:r>
        <w:rPr>
          <w:rFonts w:hint="eastAsia" w:cs="Arial" w:asciiTheme="majorEastAsia" w:hAnsiTheme="majorEastAsia" w:eastAsiaTheme="majorEastAsia"/>
          <w:b/>
          <w:kern w:val="0"/>
          <w:szCs w:val="21"/>
        </w:rPr>
        <w:t>图1    20</w:t>
      </w:r>
      <w:r>
        <w:rPr>
          <w:rFonts w:cs="Arial" w:asciiTheme="majorEastAsia" w:hAnsiTheme="majorEastAsia" w:eastAsiaTheme="majorEastAsia"/>
          <w:b/>
          <w:kern w:val="0"/>
          <w:szCs w:val="21"/>
        </w:rPr>
        <w:t>22</w:t>
      </w:r>
      <w:r>
        <w:rPr>
          <w:rFonts w:hint="eastAsia" w:cs="Arial" w:asciiTheme="majorEastAsia" w:hAnsiTheme="majorEastAsia" w:eastAsiaTheme="majorEastAsia"/>
          <w:b/>
          <w:kern w:val="0"/>
          <w:szCs w:val="21"/>
        </w:rPr>
        <w:t>年1-</w:t>
      </w:r>
      <w:r>
        <w:rPr>
          <w:rFonts w:cs="Arial" w:asciiTheme="majorEastAsia" w:hAnsiTheme="majorEastAsia" w:eastAsiaTheme="majorEastAsia"/>
          <w:b/>
          <w:kern w:val="0"/>
          <w:szCs w:val="21"/>
        </w:rPr>
        <w:t>6</w:t>
      </w:r>
      <w:r>
        <w:rPr>
          <w:rFonts w:hint="eastAsia" w:cs="Arial" w:asciiTheme="majorEastAsia" w:hAnsiTheme="majorEastAsia" w:eastAsiaTheme="majorEastAsia"/>
          <w:b/>
          <w:kern w:val="0"/>
          <w:szCs w:val="21"/>
        </w:rPr>
        <w:t>月物流业景气指数（</w:t>
      </w:r>
      <w:r>
        <w:rPr>
          <w:rFonts w:cs="Arial" w:asciiTheme="majorEastAsia" w:hAnsiTheme="majorEastAsia" w:eastAsiaTheme="majorEastAsia"/>
          <w:b/>
          <w:kern w:val="0"/>
          <w:szCs w:val="21"/>
        </w:rPr>
        <w:t>LPI)</w:t>
      </w:r>
      <w:r>
        <w:rPr>
          <w:rFonts w:hint="eastAsia" w:cs="Arial" w:asciiTheme="majorEastAsia" w:hAnsiTheme="majorEastAsia" w:eastAsiaTheme="majorEastAsia"/>
          <w:b/>
          <w:kern w:val="0"/>
          <w:szCs w:val="21"/>
        </w:rPr>
        <w:t>走势图</w:t>
      </w:r>
    </w:p>
    <w:p>
      <w:pPr>
        <w:ind w:firstLine="567" w:firstLineChars="202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/>
          <w:b/>
          <w:sz w:val="28"/>
          <w:szCs w:val="28"/>
        </w:rPr>
        <w:t>（一）</w:t>
      </w:r>
      <w:r>
        <w:rPr>
          <w:rFonts w:hint="eastAsia" w:ascii="宋体" w:hAnsi="宋体" w:eastAsia="宋体" w:cs="宋体"/>
          <w:b/>
          <w:kern w:val="0"/>
          <w:sz w:val="28"/>
          <w:szCs w:val="28"/>
        </w:rPr>
        <w:t>物流经营活动稳中趋升</w:t>
      </w:r>
      <w:r>
        <w:rPr>
          <w:rFonts w:hint="eastAsia"/>
          <w:b/>
          <w:sz w:val="28"/>
          <w:szCs w:val="28"/>
        </w:rPr>
        <w:t>。</w:t>
      </w:r>
      <w:r>
        <w:rPr>
          <w:rFonts w:hint="eastAsia"/>
          <w:b w:val="0"/>
          <w:bCs/>
          <w:sz w:val="28"/>
          <w:szCs w:val="28"/>
        </w:rPr>
        <w:t>上半年</w:t>
      </w:r>
      <w:r>
        <w:rPr>
          <w:rFonts w:hint="eastAsia"/>
          <w:sz w:val="28"/>
          <w:szCs w:val="28"/>
        </w:rPr>
        <w:t>物流业务</w:t>
      </w:r>
      <w:r>
        <w:rPr>
          <w:rFonts w:hint="eastAsia" w:asciiTheme="majorEastAsia" w:hAnsiTheme="majorEastAsia" w:eastAsiaTheme="majorEastAsia"/>
          <w:sz w:val="28"/>
          <w:szCs w:val="28"/>
        </w:rPr>
        <w:t>总量指数平均值</w:t>
      </w:r>
      <w:r>
        <w:rPr>
          <w:rFonts w:hint="eastAsia"/>
          <w:sz w:val="28"/>
          <w:szCs w:val="28"/>
        </w:rPr>
        <w:t>为</w:t>
      </w:r>
      <w:r>
        <w:rPr>
          <w:rFonts w:hint="eastAsia" w:asciiTheme="majorEastAsia" w:hAnsiTheme="majorEastAsia" w:eastAsiaTheme="majorEastAsia"/>
          <w:sz w:val="28"/>
          <w:szCs w:val="28"/>
        </w:rPr>
        <w:t>5</w:t>
      </w:r>
      <w:r>
        <w:rPr>
          <w:rFonts w:asciiTheme="majorEastAsia" w:hAnsiTheme="majorEastAsia" w:eastAsiaTheme="majorEastAsia"/>
          <w:sz w:val="28"/>
          <w:szCs w:val="28"/>
        </w:rPr>
        <w:t>1</w:t>
      </w:r>
      <w:r>
        <w:rPr>
          <w:rFonts w:hint="eastAsia" w:asciiTheme="majorEastAsia" w:hAnsiTheme="majorEastAsia" w:eastAsiaTheme="majorEastAsia"/>
          <w:sz w:val="28"/>
          <w:szCs w:val="28"/>
        </w:rPr>
        <w:t>.</w:t>
      </w:r>
      <w:r>
        <w:rPr>
          <w:rFonts w:asciiTheme="majorEastAsia" w:hAnsiTheme="majorEastAsia" w:eastAsiaTheme="majorEastAsia"/>
          <w:sz w:val="28"/>
          <w:szCs w:val="28"/>
        </w:rPr>
        <w:t>5</w:t>
      </w:r>
      <w:r>
        <w:rPr>
          <w:rFonts w:hint="eastAsia" w:asciiTheme="majorEastAsia" w:hAnsiTheme="majorEastAsia" w:eastAsiaTheme="majorEastAsia"/>
          <w:sz w:val="28"/>
          <w:szCs w:val="28"/>
        </w:rPr>
        <w:t>%。其中，一季度平均值51.6%，二季度平均值51.4%。分月看，一季度分月指数保持平稳；二季度分月指数变化明显，4月份在疫情影响下，指数回落至5</w:t>
      </w:r>
      <w:r>
        <w:rPr>
          <w:rFonts w:asciiTheme="majorEastAsia" w:hAnsiTheme="majorEastAsia" w:eastAsiaTheme="majorEastAsia"/>
          <w:sz w:val="28"/>
          <w:szCs w:val="28"/>
        </w:rPr>
        <w:t>0</w:t>
      </w:r>
      <w:r>
        <w:rPr>
          <w:rFonts w:hint="eastAsia" w:asciiTheme="majorEastAsia" w:hAnsiTheme="majorEastAsia" w:eastAsiaTheme="majorEastAsia"/>
          <w:sz w:val="28"/>
          <w:szCs w:val="28"/>
        </w:rPr>
        <w:t>%荣枯线以下，为4</w:t>
      </w:r>
      <w:r>
        <w:rPr>
          <w:rFonts w:asciiTheme="majorEastAsia" w:hAnsiTheme="majorEastAsia" w:eastAsiaTheme="majorEastAsia"/>
          <w:sz w:val="28"/>
          <w:szCs w:val="28"/>
        </w:rPr>
        <w:t>9.8</w:t>
      </w:r>
      <w:r>
        <w:rPr>
          <w:rFonts w:hint="eastAsia" w:asciiTheme="majorEastAsia" w:hAnsiTheme="majorEastAsia" w:eastAsiaTheme="majorEastAsia"/>
          <w:sz w:val="28"/>
          <w:szCs w:val="28"/>
        </w:rPr>
        <w:t>%；随着稳经济政策效果逐步显现，5月、6月指数持续回升，至6月份达今年以来的最高点，为5</w:t>
      </w:r>
      <w:r>
        <w:rPr>
          <w:rFonts w:asciiTheme="majorEastAsia" w:hAnsiTheme="majorEastAsia" w:eastAsiaTheme="majorEastAsia"/>
          <w:sz w:val="28"/>
          <w:szCs w:val="28"/>
        </w:rPr>
        <w:t>2.8</w:t>
      </w:r>
      <w:r>
        <w:rPr>
          <w:rFonts w:hint="eastAsia" w:asciiTheme="majorEastAsia" w:hAnsiTheme="majorEastAsia" w:eastAsiaTheme="majorEastAsia"/>
          <w:sz w:val="28"/>
          <w:szCs w:val="28"/>
        </w:rPr>
        <w:t>%，物流业务活动快速回升</w:t>
      </w:r>
      <w:r>
        <w:rPr>
          <w:rFonts w:hint="eastAsia" w:ascii="宋体" w:hAnsi="宋体" w:eastAsia="宋体" w:cs="宋体"/>
          <w:kern w:val="0"/>
          <w:sz w:val="28"/>
          <w:szCs w:val="28"/>
        </w:rPr>
        <w:t>（见图2）</w:t>
      </w:r>
      <w:r>
        <w:rPr>
          <w:rFonts w:hint="eastAsia" w:asciiTheme="majorEastAsia" w:hAnsiTheme="majorEastAsia" w:eastAsiaTheme="majorEastAsia"/>
          <w:sz w:val="28"/>
          <w:szCs w:val="28"/>
        </w:rPr>
        <w:t>。</w:t>
      </w:r>
    </w:p>
    <w:p>
      <w:pPr>
        <w:rPr>
          <w:rFonts w:asciiTheme="majorEastAsia" w:hAnsiTheme="majorEastAsia" w:eastAsiaTheme="majorEastAsia"/>
          <w:sz w:val="28"/>
          <w:szCs w:val="28"/>
        </w:rPr>
      </w:pPr>
      <w:r>
        <w:drawing>
          <wp:inline distT="0" distB="0" distL="0" distR="0">
            <wp:extent cx="5391150" cy="2428875"/>
            <wp:effectExtent l="0" t="0" r="0" b="0"/>
            <wp:docPr id="3" name="图表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>
      <w:pPr>
        <w:spacing w:line="480" w:lineRule="auto"/>
        <w:ind w:firstLine="2397" w:firstLineChars="1137"/>
        <w:rPr>
          <w:rFonts w:asciiTheme="majorEastAsia" w:hAnsiTheme="majorEastAsia" w:eastAsiaTheme="majorEastAsia"/>
          <w:b/>
          <w:szCs w:val="21"/>
        </w:rPr>
      </w:pPr>
      <w:r>
        <w:rPr>
          <w:rFonts w:hint="eastAsia" w:asciiTheme="majorEastAsia" w:hAnsiTheme="majorEastAsia" w:eastAsiaTheme="majorEastAsia"/>
          <w:b/>
          <w:szCs w:val="21"/>
        </w:rPr>
        <w:t xml:space="preserve">图2 </w:t>
      </w:r>
      <w:r>
        <w:rPr>
          <w:rFonts w:hint="eastAsia" w:asciiTheme="majorEastAsia" w:hAnsiTheme="majorEastAsia" w:eastAsiaTheme="majorEastAsia"/>
          <w:b/>
          <w:szCs w:val="21"/>
          <w:lang w:val="en-US" w:eastAsia="zh-CN"/>
        </w:rPr>
        <w:t xml:space="preserve"> </w:t>
      </w:r>
      <w:r>
        <w:rPr>
          <w:rFonts w:hint="eastAsia" w:cs="Arial" w:asciiTheme="majorEastAsia" w:hAnsiTheme="majorEastAsia" w:eastAsiaTheme="majorEastAsia"/>
          <w:b/>
          <w:kern w:val="0"/>
          <w:szCs w:val="21"/>
        </w:rPr>
        <w:t>20</w:t>
      </w:r>
      <w:r>
        <w:rPr>
          <w:rFonts w:cs="Arial" w:asciiTheme="majorEastAsia" w:hAnsiTheme="majorEastAsia" w:eastAsiaTheme="majorEastAsia"/>
          <w:b/>
          <w:kern w:val="0"/>
          <w:szCs w:val="21"/>
        </w:rPr>
        <w:t>22</w:t>
      </w:r>
      <w:r>
        <w:rPr>
          <w:rFonts w:hint="eastAsia" w:cs="Arial" w:asciiTheme="majorEastAsia" w:hAnsiTheme="majorEastAsia" w:eastAsiaTheme="majorEastAsia"/>
          <w:b/>
          <w:kern w:val="0"/>
          <w:szCs w:val="21"/>
        </w:rPr>
        <w:t>年1-</w:t>
      </w:r>
      <w:r>
        <w:rPr>
          <w:rFonts w:cs="Arial" w:asciiTheme="majorEastAsia" w:hAnsiTheme="majorEastAsia" w:eastAsiaTheme="majorEastAsia"/>
          <w:b/>
          <w:kern w:val="0"/>
          <w:szCs w:val="21"/>
        </w:rPr>
        <w:t>6</w:t>
      </w:r>
      <w:r>
        <w:rPr>
          <w:rFonts w:hint="eastAsia" w:cs="Arial" w:asciiTheme="majorEastAsia" w:hAnsiTheme="majorEastAsia" w:eastAsiaTheme="majorEastAsia"/>
          <w:b/>
          <w:kern w:val="0"/>
          <w:szCs w:val="21"/>
        </w:rPr>
        <w:t>月</w:t>
      </w:r>
      <w:r>
        <w:rPr>
          <w:rFonts w:hint="eastAsia" w:asciiTheme="majorEastAsia" w:hAnsiTheme="majorEastAsia" w:eastAsiaTheme="majorEastAsia"/>
          <w:b/>
          <w:szCs w:val="21"/>
        </w:rPr>
        <w:t>业务总量指数走势图</w:t>
      </w:r>
    </w:p>
    <w:p>
      <w:pPr>
        <w:spacing w:line="480" w:lineRule="auto"/>
        <w:ind w:firstLine="566" w:firstLineChars="235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z w:val="24"/>
          <w:szCs w:val="24"/>
        </w:rPr>
        <w:t>（二）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物流就业指数高位震荡。</w:t>
      </w:r>
      <w:r>
        <w:rPr>
          <w:rFonts w:hint="eastAsia" w:ascii="宋体" w:hAnsi="宋体" w:eastAsia="宋体" w:cs="宋体"/>
          <w:kern w:val="0"/>
          <w:sz w:val="28"/>
          <w:szCs w:val="28"/>
        </w:rPr>
        <w:t>上半年，从业人员指数</w:t>
      </w:r>
      <w:r>
        <w:rPr>
          <w:rFonts w:hint="eastAsia" w:asciiTheme="majorEastAsia" w:hAnsiTheme="majorEastAsia" w:eastAsiaTheme="majorEastAsia"/>
          <w:sz w:val="28"/>
          <w:szCs w:val="28"/>
        </w:rPr>
        <w:t>各月均保持在5</w:t>
      </w:r>
      <w:r>
        <w:rPr>
          <w:rFonts w:asciiTheme="majorEastAsia" w:hAnsiTheme="majorEastAsia" w:eastAsiaTheme="majorEastAsia"/>
          <w:sz w:val="28"/>
          <w:szCs w:val="28"/>
        </w:rPr>
        <w:t>5</w:t>
      </w:r>
      <w:r>
        <w:rPr>
          <w:rFonts w:hint="eastAsia" w:asciiTheme="majorEastAsia" w:hAnsiTheme="majorEastAsia" w:eastAsiaTheme="majorEastAsia"/>
          <w:sz w:val="28"/>
          <w:szCs w:val="28"/>
        </w:rPr>
        <w:t>.0%以上高位景气区间，</w:t>
      </w:r>
      <w:r>
        <w:rPr>
          <w:rFonts w:hint="eastAsia"/>
          <w:sz w:val="28"/>
          <w:szCs w:val="28"/>
        </w:rPr>
        <w:t>平均值为</w:t>
      </w:r>
      <w:r>
        <w:rPr>
          <w:rFonts w:asciiTheme="majorEastAsia" w:hAnsiTheme="majorEastAsia" w:eastAsiaTheme="majorEastAsia"/>
          <w:sz w:val="28"/>
          <w:szCs w:val="28"/>
        </w:rPr>
        <w:t>55</w:t>
      </w:r>
      <w:r>
        <w:rPr>
          <w:rFonts w:hint="eastAsia" w:asciiTheme="majorEastAsia" w:hAnsiTheme="majorEastAsia" w:eastAsiaTheme="majorEastAsia"/>
          <w:sz w:val="28"/>
          <w:szCs w:val="28"/>
        </w:rPr>
        <w:t>.</w:t>
      </w:r>
      <w:r>
        <w:rPr>
          <w:rFonts w:asciiTheme="majorEastAsia" w:hAnsiTheme="majorEastAsia" w:eastAsiaTheme="majorEastAsia"/>
          <w:sz w:val="28"/>
          <w:szCs w:val="28"/>
        </w:rPr>
        <w:t>4</w:t>
      </w:r>
      <w:r>
        <w:rPr>
          <w:rFonts w:hint="eastAsia" w:asciiTheme="majorEastAsia" w:hAnsiTheme="majorEastAsia" w:eastAsiaTheme="majorEastAsia"/>
          <w:sz w:val="28"/>
          <w:szCs w:val="28"/>
        </w:rPr>
        <w:t>%</w:t>
      </w:r>
      <w:r>
        <w:rPr>
          <w:rFonts w:hint="eastAsia" w:ascii="宋体" w:hAnsi="宋体" w:eastAsia="宋体" w:cs="宋体"/>
          <w:kern w:val="0"/>
          <w:sz w:val="28"/>
          <w:szCs w:val="28"/>
        </w:rPr>
        <w:t>。分月看，1月份从业人员指数为</w:t>
      </w:r>
      <w:r>
        <w:rPr>
          <w:rFonts w:ascii="宋体" w:hAnsi="宋体" w:eastAsia="宋体" w:cs="宋体"/>
          <w:kern w:val="0"/>
          <w:sz w:val="28"/>
          <w:szCs w:val="28"/>
        </w:rPr>
        <w:t>55</w:t>
      </w:r>
      <w:r>
        <w:rPr>
          <w:rFonts w:hint="eastAsia" w:ascii="宋体" w:hAnsi="宋体" w:eastAsia="宋体" w:cs="宋体"/>
          <w:kern w:val="0"/>
          <w:sz w:val="28"/>
          <w:szCs w:val="28"/>
        </w:rPr>
        <w:t>.</w:t>
      </w:r>
      <w:r>
        <w:rPr>
          <w:rFonts w:ascii="宋体" w:hAnsi="宋体" w:eastAsia="宋体" w:cs="宋体"/>
          <w:kern w:val="0"/>
          <w:sz w:val="28"/>
          <w:szCs w:val="28"/>
        </w:rPr>
        <w:t>5</w:t>
      </w:r>
      <w:r>
        <w:rPr>
          <w:rFonts w:hint="eastAsia" w:ascii="宋体" w:hAnsi="宋体" w:eastAsia="宋体" w:cs="宋体"/>
          <w:kern w:val="0"/>
          <w:sz w:val="28"/>
          <w:szCs w:val="28"/>
        </w:rPr>
        <w:t>%，2月份回落至</w:t>
      </w:r>
      <w:r>
        <w:rPr>
          <w:rFonts w:ascii="宋体" w:hAnsi="宋体" w:eastAsia="宋体" w:cs="宋体"/>
          <w:kern w:val="0"/>
          <w:sz w:val="28"/>
          <w:szCs w:val="28"/>
        </w:rPr>
        <w:t>55</w:t>
      </w:r>
      <w:r>
        <w:rPr>
          <w:rFonts w:hint="eastAsia" w:ascii="宋体" w:hAnsi="宋体" w:eastAsia="宋体" w:cs="宋体"/>
          <w:kern w:val="0"/>
          <w:sz w:val="28"/>
          <w:szCs w:val="28"/>
        </w:rPr>
        <w:t>.</w:t>
      </w:r>
      <w:r>
        <w:rPr>
          <w:rFonts w:ascii="宋体" w:hAnsi="宋体" w:eastAsia="宋体" w:cs="宋体"/>
          <w:kern w:val="0"/>
          <w:sz w:val="28"/>
          <w:szCs w:val="28"/>
        </w:rPr>
        <w:t>1</w:t>
      </w:r>
      <w:r>
        <w:rPr>
          <w:rFonts w:hint="eastAsia" w:ascii="宋体" w:hAnsi="宋体" w:eastAsia="宋体" w:cs="宋体"/>
          <w:kern w:val="0"/>
          <w:sz w:val="28"/>
          <w:szCs w:val="28"/>
        </w:rPr>
        <w:t>%（见图3），3月、4月持续回升至5</w:t>
      </w:r>
      <w:r>
        <w:rPr>
          <w:rFonts w:ascii="宋体" w:hAnsi="宋体" w:eastAsia="宋体" w:cs="宋体"/>
          <w:kern w:val="0"/>
          <w:sz w:val="28"/>
          <w:szCs w:val="28"/>
        </w:rPr>
        <w:t>5</w:t>
      </w:r>
      <w:r>
        <w:rPr>
          <w:rFonts w:hint="eastAsia" w:ascii="宋体" w:hAnsi="宋体" w:eastAsia="宋体" w:cs="宋体"/>
          <w:kern w:val="0"/>
          <w:sz w:val="28"/>
          <w:szCs w:val="28"/>
        </w:rPr>
        <w:t>.</w:t>
      </w:r>
      <w:r>
        <w:rPr>
          <w:rFonts w:ascii="宋体" w:hAnsi="宋体" w:eastAsia="宋体" w:cs="宋体"/>
          <w:kern w:val="0"/>
          <w:sz w:val="28"/>
          <w:szCs w:val="28"/>
        </w:rPr>
        <w:t>2</w:t>
      </w:r>
      <w:r>
        <w:rPr>
          <w:rFonts w:hint="eastAsia" w:ascii="宋体" w:hAnsi="宋体" w:eastAsia="宋体" w:cs="宋体"/>
          <w:kern w:val="0"/>
          <w:sz w:val="28"/>
          <w:szCs w:val="28"/>
        </w:rPr>
        <w:t>%和5</w:t>
      </w:r>
      <w:r>
        <w:rPr>
          <w:rFonts w:ascii="宋体" w:hAnsi="宋体" w:eastAsia="宋体" w:cs="宋体"/>
          <w:kern w:val="0"/>
          <w:sz w:val="28"/>
          <w:szCs w:val="28"/>
        </w:rPr>
        <w:t>5.3</w:t>
      </w:r>
      <w:r>
        <w:rPr>
          <w:rFonts w:hint="eastAsia" w:ascii="宋体" w:hAnsi="宋体" w:eastAsia="宋体" w:cs="宋体"/>
          <w:kern w:val="0"/>
          <w:sz w:val="28"/>
          <w:szCs w:val="28"/>
        </w:rPr>
        <w:t>%，5月份回落至5</w:t>
      </w:r>
      <w:r>
        <w:rPr>
          <w:rFonts w:ascii="宋体" w:hAnsi="宋体" w:eastAsia="宋体" w:cs="宋体"/>
          <w:kern w:val="0"/>
          <w:sz w:val="28"/>
          <w:szCs w:val="28"/>
        </w:rPr>
        <w:t>5.0</w:t>
      </w:r>
      <w:r>
        <w:rPr>
          <w:rFonts w:hint="eastAsia" w:ascii="宋体" w:hAnsi="宋体" w:eastAsia="宋体" w:cs="宋体"/>
          <w:kern w:val="0"/>
          <w:sz w:val="28"/>
          <w:szCs w:val="28"/>
        </w:rPr>
        <w:t>%，6月份攀至今年以来最高点，为5</w:t>
      </w:r>
      <w:r>
        <w:rPr>
          <w:rFonts w:ascii="宋体" w:hAnsi="宋体" w:eastAsia="宋体" w:cs="宋体"/>
          <w:kern w:val="0"/>
          <w:sz w:val="28"/>
          <w:szCs w:val="28"/>
        </w:rPr>
        <w:t>6.3</w:t>
      </w:r>
      <w:r>
        <w:rPr>
          <w:rFonts w:hint="eastAsia" w:ascii="宋体" w:hAnsi="宋体" w:eastAsia="宋体" w:cs="宋体"/>
          <w:kern w:val="0"/>
          <w:sz w:val="28"/>
          <w:szCs w:val="28"/>
        </w:rPr>
        <w:t>%。</w:t>
      </w:r>
    </w:p>
    <w:p>
      <w:pPr>
        <w:spacing w:line="480" w:lineRule="auto"/>
        <w:rPr>
          <w:rFonts w:ascii="宋体" w:hAnsi="宋体" w:eastAsia="宋体" w:cs="宋体"/>
          <w:kern w:val="0"/>
          <w:sz w:val="28"/>
          <w:szCs w:val="28"/>
        </w:rPr>
      </w:pPr>
      <w:r>
        <w:drawing>
          <wp:inline distT="0" distB="0" distL="0" distR="0">
            <wp:extent cx="5433060" cy="1874520"/>
            <wp:effectExtent l="19050" t="0" r="15240" b="0"/>
            <wp:docPr id="4" name="图表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>
      <w:pPr>
        <w:spacing w:line="480" w:lineRule="auto"/>
        <w:ind w:firstLine="2392" w:firstLineChars="1135"/>
        <w:rPr>
          <w:rFonts w:asciiTheme="majorEastAsia" w:hAnsiTheme="majorEastAsia" w:eastAsiaTheme="majorEastAsia"/>
          <w:b/>
          <w:szCs w:val="21"/>
        </w:rPr>
      </w:pPr>
      <w:r>
        <w:rPr>
          <w:rFonts w:hint="eastAsia" w:ascii="宋体" w:hAnsi="宋体" w:eastAsia="宋体" w:cs="宋体"/>
          <w:b/>
          <w:kern w:val="0"/>
          <w:szCs w:val="21"/>
        </w:rPr>
        <w:t>图3   20</w:t>
      </w:r>
      <w:r>
        <w:rPr>
          <w:rFonts w:ascii="宋体" w:hAnsi="宋体" w:eastAsia="宋体" w:cs="宋体"/>
          <w:b/>
          <w:kern w:val="0"/>
          <w:szCs w:val="21"/>
        </w:rPr>
        <w:t>22</w:t>
      </w:r>
      <w:r>
        <w:rPr>
          <w:rFonts w:hint="eastAsia" w:ascii="宋体" w:hAnsi="宋体" w:eastAsia="宋体" w:cs="宋体"/>
          <w:b/>
          <w:kern w:val="0"/>
          <w:szCs w:val="21"/>
        </w:rPr>
        <w:t>年1-</w:t>
      </w:r>
      <w:r>
        <w:rPr>
          <w:rFonts w:ascii="宋体" w:hAnsi="宋体" w:eastAsia="宋体" w:cs="宋体"/>
          <w:b/>
          <w:kern w:val="0"/>
          <w:szCs w:val="21"/>
        </w:rPr>
        <w:t>6</w:t>
      </w:r>
      <w:r>
        <w:rPr>
          <w:rFonts w:hint="eastAsia" w:ascii="宋体" w:hAnsi="宋体" w:eastAsia="宋体" w:cs="宋体"/>
          <w:b/>
          <w:kern w:val="0"/>
          <w:szCs w:val="21"/>
        </w:rPr>
        <w:t>月从业人员指数走势图</w:t>
      </w:r>
    </w:p>
    <w:p>
      <w:pPr>
        <w:ind w:firstLine="564" w:firstLineChars="201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z w:val="28"/>
          <w:szCs w:val="28"/>
        </w:rPr>
        <w:t>（三）利润指数起伏较大，成本指数高居不下。</w:t>
      </w:r>
      <w:r>
        <w:rPr>
          <w:rFonts w:hint="eastAsia" w:asciiTheme="majorEastAsia" w:hAnsiTheme="majorEastAsia" w:eastAsiaTheme="majorEastAsia"/>
          <w:sz w:val="28"/>
          <w:szCs w:val="28"/>
        </w:rPr>
        <w:t>上半年，主营业务成本指数各月均处于5</w:t>
      </w:r>
      <w:r>
        <w:rPr>
          <w:rFonts w:asciiTheme="majorEastAsia" w:hAnsiTheme="majorEastAsia" w:eastAsiaTheme="majorEastAsia"/>
          <w:sz w:val="28"/>
          <w:szCs w:val="28"/>
        </w:rPr>
        <w:t>5</w:t>
      </w:r>
      <w:r>
        <w:rPr>
          <w:rFonts w:hint="eastAsia" w:asciiTheme="majorEastAsia" w:hAnsiTheme="majorEastAsia" w:eastAsiaTheme="majorEastAsia"/>
          <w:sz w:val="28"/>
          <w:szCs w:val="28"/>
        </w:rPr>
        <w:t>.</w:t>
      </w:r>
      <w:r>
        <w:rPr>
          <w:rFonts w:asciiTheme="majorEastAsia" w:hAnsiTheme="majorEastAsia" w:eastAsiaTheme="majorEastAsia"/>
          <w:sz w:val="28"/>
          <w:szCs w:val="28"/>
        </w:rPr>
        <w:t>0</w:t>
      </w:r>
      <w:r>
        <w:rPr>
          <w:rFonts w:hint="eastAsia" w:asciiTheme="majorEastAsia" w:hAnsiTheme="majorEastAsia" w:eastAsiaTheme="majorEastAsia"/>
          <w:sz w:val="28"/>
          <w:szCs w:val="28"/>
        </w:rPr>
        <w:t>%以上高位区间（见图4），平均值为58.</w:t>
      </w:r>
      <w:r>
        <w:rPr>
          <w:rFonts w:asciiTheme="majorEastAsia" w:hAnsiTheme="majorEastAsia" w:eastAsiaTheme="majorEastAsia"/>
          <w:sz w:val="28"/>
          <w:szCs w:val="28"/>
        </w:rPr>
        <w:t>4</w:t>
      </w:r>
      <w:r>
        <w:rPr>
          <w:rFonts w:hint="eastAsia" w:asciiTheme="majorEastAsia" w:hAnsiTheme="majorEastAsia" w:eastAsiaTheme="majorEastAsia"/>
          <w:sz w:val="28"/>
          <w:szCs w:val="28"/>
        </w:rPr>
        <w:t>%；主营业务利润指数起伏较大，有5个月处于50.0%荣枯线以下,仅5月份为5</w:t>
      </w:r>
      <w:r>
        <w:rPr>
          <w:rFonts w:asciiTheme="majorEastAsia" w:hAnsiTheme="majorEastAsia" w:eastAsiaTheme="majorEastAsia"/>
          <w:sz w:val="28"/>
          <w:szCs w:val="28"/>
        </w:rPr>
        <w:t>3</w:t>
      </w:r>
      <w:r>
        <w:rPr>
          <w:rFonts w:hint="eastAsia" w:asciiTheme="majorEastAsia" w:hAnsiTheme="majorEastAsia" w:eastAsiaTheme="majorEastAsia"/>
          <w:sz w:val="28"/>
          <w:szCs w:val="28"/>
        </w:rPr>
        <w:t>.</w:t>
      </w:r>
      <w:r>
        <w:rPr>
          <w:rFonts w:asciiTheme="majorEastAsia" w:hAnsiTheme="majorEastAsia" w:eastAsiaTheme="majorEastAsia"/>
          <w:sz w:val="28"/>
          <w:szCs w:val="28"/>
        </w:rPr>
        <w:t>1%</w:t>
      </w:r>
      <w:r>
        <w:rPr>
          <w:rFonts w:hint="eastAsia" w:asciiTheme="majorEastAsia" w:hAnsiTheme="majorEastAsia" w:eastAsiaTheme="majorEastAsia"/>
          <w:sz w:val="28"/>
          <w:szCs w:val="28"/>
        </w:rPr>
        <w:t>，平均值为4</w:t>
      </w:r>
      <w:r>
        <w:rPr>
          <w:rFonts w:asciiTheme="majorEastAsia" w:hAnsiTheme="majorEastAsia" w:eastAsiaTheme="majorEastAsia"/>
          <w:sz w:val="28"/>
          <w:szCs w:val="28"/>
        </w:rPr>
        <w:t>7</w:t>
      </w:r>
      <w:r>
        <w:rPr>
          <w:rFonts w:hint="eastAsia" w:asciiTheme="majorEastAsia" w:hAnsiTheme="majorEastAsia" w:eastAsiaTheme="majorEastAsia"/>
          <w:sz w:val="28"/>
          <w:szCs w:val="28"/>
        </w:rPr>
        <w:t>.</w:t>
      </w:r>
      <w:r>
        <w:rPr>
          <w:rFonts w:asciiTheme="majorEastAsia" w:hAnsiTheme="majorEastAsia" w:eastAsiaTheme="majorEastAsia"/>
          <w:sz w:val="28"/>
          <w:szCs w:val="28"/>
        </w:rPr>
        <w:t>0</w:t>
      </w:r>
      <w:r>
        <w:rPr>
          <w:rFonts w:hint="eastAsia" w:asciiTheme="majorEastAsia" w:hAnsiTheme="majorEastAsia" w:eastAsiaTheme="majorEastAsia"/>
          <w:sz w:val="28"/>
          <w:szCs w:val="28"/>
        </w:rPr>
        <w:t>%；低于主营业务成本平均指数</w:t>
      </w:r>
      <w:r>
        <w:rPr>
          <w:rFonts w:asciiTheme="majorEastAsia" w:hAnsiTheme="majorEastAsia" w:eastAsiaTheme="majorEastAsia"/>
          <w:sz w:val="28"/>
          <w:szCs w:val="28"/>
        </w:rPr>
        <w:t>11</w:t>
      </w:r>
      <w:r>
        <w:rPr>
          <w:rFonts w:hint="eastAsia" w:asciiTheme="majorEastAsia" w:hAnsiTheme="majorEastAsia" w:eastAsiaTheme="majorEastAsia"/>
          <w:sz w:val="28"/>
          <w:szCs w:val="28"/>
        </w:rPr>
        <w:t>.</w:t>
      </w:r>
      <w:r>
        <w:rPr>
          <w:rFonts w:asciiTheme="majorEastAsia" w:hAnsiTheme="majorEastAsia" w:eastAsiaTheme="majorEastAsia"/>
          <w:sz w:val="28"/>
          <w:szCs w:val="28"/>
        </w:rPr>
        <w:t>4</w:t>
      </w:r>
      <w:r>
        <w:rPr>
          <w:rFonts w:hint="eastAsia" w:asciiTheme="majorEastAsia" w:hAnsiTheme="majorEastAsia" w:eastAsiaTheme="majorEastAsia"/>
          <w:sz w:val="28"/>
          <w:szCs w:val="28"/>
        </w:rPr>
        <w:t>个百分点，</w:t>
      </w:r>
      <w:r>
        <w:rPr>
          <w:rFonts w:hint="eastAsia" w:ascii="微软雅黑" w:hAnsi="微软雅黑"/>
          <w:sz w:val="28"/>
          <w:szCs w:val="28"/>
          <w:shd w:val="clear" w:color="auto" w:fill="FFFFFF"/>
        </w:rPr>
        <w:t>物流</w:t>
      </w:r>
      <w:r>
        <w:rPr>
          <w:rFonts w:ascii="微软雅黑" w:hAnsi="微软雅黑"/>
          <w:sz w:val="28"/>
          <w:szCs w:val="28"/>
          <w:shd w:val="clear" w:color="auto" w:fill="FFFFFF"/>
        </w:rPr>
        <w:t>企业经营</w:t>
      </w:r>
      <w:r>
        <w:rPr>
          <w:rFonts w:hint="eastAsia" w:ascii="微软雅黑" w:hAnsi="微软雅黑"/>
          <w:sz w:val="28"/>
          <w:szCs w:val="28"/>
          <w:shd w:val="clear" w:color="auto" w:fill="FFFFFF"/>
        </w:rPr>
        <w:t>效益仍未改善</w:t>
      </w:r>
      <w:r>
        <w:rPr>
          <w:rFonts w:asciiTheme="majorEastAsia" w:hAnsiTheme="majorEastAsia" w:eastAsiaTheme="majorEastAsia"/>
          <w:sz w:val="28"/>
          <w:szCs w:val="28"/>
        </w:rPr>
        <w:t>。</w:t>
      </w:r>
    </w:p>
    <w:p>
      <w:pPr>
        <w:rPr>
          <w:rFonts w:asciiTheme="majorEastAsia" w:hAnsiTheme="majorEastAsia" w:eastAsiaTheme="majorEastAsia"/>
          <w:sz w:val="28"/>
          <w:szCs w:val="28"/>
        </w:rPr>
      </w:pPr>
      <w:r>
        <w:drawing>
          <wp:inline distT="0" distB="0" distL="0" distR="0">
            <wp:extent cx="5391150" cy="2628900"/>
            <wp:effectExtent l="0" t="0" r="0" b="0"/>
            <wp:docPr id="5" name="图表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>
      <w:pPr>
        <w:spacing w:line="480" w:lineRule="auto"/>
        <w:ind w:firstLine="1148" w:firstLineChars="545"/>
        <w:rPr>
          <w:rFonts w:ascii="宋体" w:hAnsi="宋体" w:eastAsia="宋体" w:cs="宋体"/>
          <w:kern w:val="0"/>
          <w:szCs w:val="21"/>
        </w:rPr>
      </w:pPr>
      <w:r>
        <w:rPr>
          <w:rFonts w:hint="eastAsia" w:asciiTheme="majorEastAsia" w:hAnsiTheme="majorEastAsia" w:eastAsiaTheme="majorEastAsia"/>
          <w:b/>
          <w:szCs w:val="21"/>
        </w:rPr>
        <w:t>图4  20</w:t>
      </w:r>
      <w:r>
        <w:rPr>
          <w:rFonts w:asciiTheme="majorEastAsia" w:hAnsiTheme="majorEastAsia" w:eastAsiaTheme="majorEastAsia"/>
          <w:b/>
          <w:szCs w:val="21"/>
        </w:rPr>
        <w:t>22</w:t>
      </w:r>
      <w:r>
        <w:rPr>
          <w:rFonts w:hint="eastAsia" w:asciiTheme="majorEastAsia" w:hAnsiTheme="majorEastAsia" w:eastAsiaTheme="majorEastAsia"/>
          <w:b/>
          <w:szCs w:val="21"/>
        </w:rPr>
        <w:t>年1-</w:t>
      </w:r>
      <w:r>
        <w:rPr>
          <w:rFonts w:asciiTheme="majorEastAsia" w:hAnsiTheme="majorEastAsia" w:eastAsiaTheme="majorEastAsia"/>
          <w:b/>
          <w:szCs w:val="21"/>
        </w:rPr>
        <w:t>6</w:t>
      </w:r>
      <w:r>
        <w:rPr>
          <w:rFonts w:hint="eastAsia" w:asciiTheme="majorEastAsia" w:hAnsiTheme="majorEastAsia" w:eastAsiaTheme="majorEastAsia"/>
          <w:b/>
          <w:szCs w:val="21"/>
        </w:rPr>
        <w:t>月主营业务成本指数、主营业务利润指数走势图</w:t>
      </w:r>
    </w:p>
    <w:p>
      <w:pPr>
        <w:ind w:firstLine="554" w:firstLineChars="200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inorEastAsia" w:hAnsiTheme="minorEastAsia"/>
          <w:b/>
          <w:bCs/>
          <w:spacing w:val="-2"/>
          <w:sz w:val="28"/>
          <w:szCs w:val="28"/>
        </w:rPr>
        <w:t>（四）资金</w:t>
      </w:r>
      <w:r>
        <w:rPr>
          <w:rFonts w:hint="eastAsia" w:asciiTheme="majorEastAsia" w:hAnsiTheme="majorEastAsia" w:eastAsiaTheme="majorEastAsia"/>
          <w:b/>
          <w:sz w:val="28"/>
          <w:szCs w:val="28"/>
        </w:rPr>
        <w:t>周转率指数略有走低</w:t>
      </w:r>
      <w:r>
        <w:rPr>
          <w:rFonts w:hint="eastAsia" w:asciiTheme="minorEastAsia" w:hAnsiTheme="minorEastAsia"/>
          <w:b/>
          <w:sz w:val="28"/>
          <w:szCs w:val="28"/>
        </w:rPr>
        <w:t>。</w:t>
      </w:r>
      <w:r>
        <w:rPr>
          <w:rFonts w:hint="eastAsia" w:asciiTheme="majorEastAsia" w:hAnsiTheme="majorEastAsia" w:eastAsiaTheme="majorEastAsia"/>
          <w:sz w:val="28"/>
          <w:szCs w:val="28"/>
        </w:rPr>
        <w:t>上半年，资金周转率指数各月均保持在5</w:t>
      </w:r>
      <w:r>
        <w:rPr>
          <w:rFonts w:asciiTheme="majorEastAsia" w:hAnsiTheme="majorEastAsia" w:eastAsiaTheme="majorEastAsia"/>
          <w:sz w:val="28"/>
          <w:szCs w:val="28"/>
        </w:rPr>
        <w:t>3</w:t>
      </w:r>
      <w:r>
        <w:rPr>
          <w:rFonts w:hint="eastAsia" w:asciiTheme="majorEastAsia" w:hAnsiTheme="majorEastAsia" w:eastAsiaTheme="majorEastAsia"/>
          <w:sz w:val="28"/>
          <w:szCs w:val="28"/>
        </w:rPr>
        <w:t>.</w:t>
      </w:r>
      <w:r>
        <w:rPr>
          <w:rFonts w:asciiTheme="majorEastAsia" w:hAnsiTheme="majorEastAsia" w:eastAsiaTheme="majorEastAsia"/>
          <w:sz w:val="28"/>
          <w:szCs w:val="28"/>
        </w:rPr>
        <w:t>0</w:t>
      </w:r>
      <w:r>
        <w:rPr>
          <w:rFonts w:hint="eastAsia" w:asciiTheme="majorEastAsia" w:hAnsiTheme="majorEastAsia" w:eastAsiaTheme="majorEastAsia"/>
          <w:sz w:val="28"/>
          <w:szCs w:val="28"/>
        </w:rPr>
        <w:t>%以上运行（见图5），</w:t>
      </w:r>
      <w:r>
        <w:rPr>
          <w:rFonts w:hint="eastAsia" w:asciiTheme="minorEastAsia" w:hAnsiTheme="minorEastAsia"/>
          <w:sz w:val="28"/>
          <w:szCs w:val="28"/>
        </w:rPr>
        <w:t>平均值为</w:t>
      </w:r>
      <w:r>
        <w:rPr>
          <w:rFonts w:asciiTheme="minorEastAsia" w:hAnsiTheme="minorEastAsia"/>
          <w:sz w:val="28"/>
          <w:szCs w:val="28"/>
        </w:rPr>
        <w:t>55</w:t>
      </w:r>
      <w:r>
        <w:rPr>
          <w:rFonts w:hint="eastAsia" w:asciiTheme="minorEastAsia" w:hAnsiTheme="minorEastAsia"/>
          <w:sz w:val="28"/>
          <w:szCs w:val="28"/>
        </w:rPr>
        <w:t>.</w:t>
      </w:r>
      <w:r>
        <w:rPr>
          <w:rFonts w:asciiTheme="minorEastAsia" w:hAnsiTheme="minorEastAsia"/>
          <w:sz w:val="28"/>
          <w:szCs w:val="28"/>
        </w:rPr>
        <w:t>2</w:t>
      </w:r>
      <w:r>
        <w:rPr>
          <w:rFonts w:hint="eastAsia" w:asciiTheme="minorEastAsia" w:hAnsiTheme="minorEastAsia"/>
          <w:sz w:val="28"/>
          <w:szCs w:val="28"/>
        </w:rPr>
        <w:t>%。</w:t>
      </w:r>
      <w:r>
        <w:rPr>
          <w:rFonts w:hint="eastAsia" w:asciiTheme="majorEastAsia" w:hAnsiTheme="majorEastAsia" w:eastAsiaTheme="majorEastAsia"/>
          <w:sz w:val="28"/>
          <w:szCs w:val="28"/>
        </w:rPr>
        <w:t>其中，一季度平均值56.0%，高于二季度平均值（54.5%）1.5个百分点。</w:t>
      </w:r>
      <w:r>
        <w:rPr>
          <w:rFonts w:hint="eastAsia" w:asciiTheme="minorEastAsia" w:hAnsiTheme="minorEastAsia"/>
          <w:sz w:val="28"/>
          <w:szCs w:val="28"/>
        </w:rPr>
        <w:t>分月看，指数由1月的56.1%高点逐月下行至6月的低点53.3%，表明资金利用环境虽总体仍较宽松，但已有所变化</w:t>
      </w:r>
      <w:r>
        <w:rPr>
          <w:rFonts w:asciiTheme="majorEastAsia" w:hAnsiTheme="majorEastAsia" w:eastAsiaTheme="majorEastAsia"/>
          <w:sz w:val="28"/>
          <w:szCs w:val="28"/>
        </w:rPr>
        <w:t>。</w:t>
      </w:r>
      <w:bookmarkStart w:id="0" w:name="_GoBack"/>
      <w:bookmarkEnd w:id="0"/>
    </w:p>
    <w:p>
      <w:pPr>
        <w:rPr>
          <w:rFonts w:asciiTheme="majorEastAsia" w:hAnsiTheme="majorEastAsia" w:eastAsiaTheme="majorEastAsia"/>
          <w:sz w:val="28"/>
          <w:szCs w:val="28"/>
        </w:rPr>
      </w:pPr>
      <w:r>
        <w:drawing>
          <wp:inline distT="0" distB="0" distL="0" distR="0">
            <wp:extent cx="5274310" cy="2383155"/>
            <wp:effectExtent l="0" t="0" r="0" b="0"/>
            <wp:docPr id="7" name="图表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>
      <w:pPr>
        <w:spacing w:line="360" w:lineRule="auto"/>
        <w:jc w:val="center"/>
        <w:rPr>
          <w:rFonts w:asciiTheme="majorEastAsia" w:hAnsiTheme="majorEastAsia" w:eastAsiaTheme="majorEastAsia"/>
          <w:b/>
          <w:szCs w:val="21"/>
        </w:rPr>
      </w:pPr>
      <w:r>
        <w:rPr>
          <w:rFonts w:hint="eastAsia" w:asciiTheme="majorEastAsia" w:hAnsiTheme="majorEastAsia" w:eastAsiaTheme="majorEastAsia"/>
          <w:b/>
          <w:szCs w:val="21"/>
        </w:rPr>
        <w:t>图5  20</w:t>
      </w:r>
      <w:r>
        <w:rPr>
          <w:rFonts w:asciiTheme="majorEastAsia" w:hAnsiTheme="majorEastAsia" w:eastAsiaTheme="majorEastAsia"/>
          <w:b/>
          <w:szCs w:val="21"/>
        </w:rPr>
        <w:t>22</w:t>
      </w:r>
      <w:r>
        <w:rPr>
          <w:rFonts w:hint="eastAsia" w:asciiTheme="majorEastAsia" w:hAnsiTheme="majorEastAsia" w:eastAsiaTheme="majorEastAsia"/>
          <w:b/>
          <w:szCs w:val="21"/>
        </w:rPr>
        <w:t>年1-</w:t>
      </w:r>
      <w:r>
        <w:rPr>
          <w:rFonts w:asciiTheme="majorEastAsia" w:hAnsiTheme="majorEastAsia" w:eastAsiaTheme="majorEastAsia"/>
          <w:b/>
          <w:szCs w:val="21"/>
        </w:rPr>
        <w:t>6</w:t>
      </w:r>
      <w:r>
        <w:rPr>
          <w:rFonts w:hint="eastAsia" w:asciiTheme="majorEastAsia" w:hAnsiTheme="majorEastAsia" w:eastAsiaTheme="majorEastAsia"/>
          <w:b/>
          <w:szCs w:val="21"/>
        </w:rPr>
        <w:t>月资金周转率指数走势图</w:t>
      </w:r>
    </w:p>
    <w:p>
      <w:pPr>
        <w:pStyle w:val="5"/>
        <w:shd w:val="clear" w:color="auto" w:fill="FFFFFF"/>
        <w:spacing w:before="0" w:beforeAutospacing="0" w:after="0" w:afterAutospacing="0" w:line="360" w:lineRule="auto"/>
        <w:ind w:firstLine="482"/>
        <w:rPr>
          <w:bCs/>
          <w:sz w:val="28"/>
          <w:szCs w:val="28"/>
        </w:rPr>
      </w:pPr>
      <w:r>
        <w:rPr>
          <w:rFonts w:hint="eastAsia"/>
          <w:b/>
          <w:sz w:val="28"/>
          <w:szCs w:val="28"/>
        </w:rPr>
        <w:t>（五）</w:t>
      </w:r>
      <w:r>
        <w:rPr>
          <w:rFonts w:hint="eastAsia" w:asciiTheme="majorEastAsia" w:hAnsiTheme="majorEastAsia" w:eastAsiaTheme="majorEastAsia"/>
          <w:b/>
          <w:sz w:val="28"/>
          <w:szCs w:val="28"/>
        </w:rPr>
        <w:t>物流业将</w:t>
      </w:r>
      <w:r>
        <w:rPr>
          <w:rFonts w:hint="eastAsia" w:cs="Times New Roman"/>
          <w:b/>
          <w:bCs/>
          <w:sz w:val="28"/>
          <w:szCs w:val="28"/>
        </w:rPr>
        <w:t>保持平稳良好走势</w:t>
      </w:r>
      <w:r>
        <w:rPr>
          <w:rFonts w:hint="eastAsia"/>
          <w:b/>
          <w:sz w:val="28"/>
          <w:szCs w:val="28"/>
        </w:rPr>
        <w:t>。</w:t>
      </w:r>
      <w:r>
        <w:rPr>
          <w:rFonts w:hint="eastAsia" w:asciiTheme="majorEastAsia" w:hAnsiTheme="majorEastAsia" w:eastAsiaTheme="majorEastAsia"/>
          <w:sz w:val="28"/>
          <w:szCs w:val="28"/>
        </w:rPr>
        <w:t>上半年，新订单指数各月均处于5</w:t>
      </w:r>
      <w:r>
        <w:rPr>
          <w:rFonts w:asciiTheme="majorEastAsia" w:hAnsiTheme="majorEastAsia" w:eastAsiaTheme="majorEastAsia"/>
          <w:sz w:val="28"/>
          <w:szCs w:val="28"/>
        </w:rPr>
        <w:t>1</w:t>
      </w:r>
      <w:r>
        <w:rPr>
          <w:rFonts w:hint="eastAsia" w:asciiTheme="majorEastAsia" w:hAnsiTheme="majorEastAsia" w:eastAsiaTheme="majorEastAsia"/>
          <w:sz w:val="28"/>
          <w:szCs w:val="28"/>
        </w:rPr>
        <w:t>.</w:t>
      </w:r>
      <w:r>
        <w:rPr>
          <w:rFonts w:asciiTheme="majorEastAsia" w:hAnsiTheme="majorEastAsia" w:eastAsiaTheme="majorEastAsia"/>
          <w:sz w:val="28"/>
          <w:szCs w:val="28"/>
        </w:rPr>
        <w:t>0</w:t>
      </w:r>
      <w:r>
        <w:rPr>
          <w:rFonts w:hint="eastAsia" w:asciiTheme="majorEastAsia" w:hAnsiTheme="majorEastAsia" w:eastAsiaTheme="majorEastAsia"/>
          <w:sz w:val="28"/>
          <w:szCs w:val="28"/>
        </w:rPr>
        <w:t>%以上景气区间（见图6），平均值为5</w:t>
      </w:r>
      <w:r>
        <w:rPr>
          <w:rFonts w:asciiTheme="majorEastAsia" w:hAnsiTheme="majorEastAsia" w:eastAsiaTheme="majorEastAsia"/>
          <w:sz w:val="28"/>
          <w:szCs w:val="28"/>
        </w:rPr>
        <w:t>2</w:t>
      </w:r>
      <w:r>
        <w:rPr>
          <w:rFonts w:hint="eastAsia" w:asciiTheme="majorEastAsia" w:hAnsiTheme="majorEastAsia" w:eastAsiaTheme="majorEastAsia"/>
          <w:sz w:val="28"/>
          <w:szCs w:val="28"/>
        </w:rPr>
        <w:t>.</w:t>
      </w:r>
      <w:r>
        <w:rPr>
          <w:rFonts w:asciiTheme="majorEastAsia" w:hAnsiTheme="majorEastAsia" w:eastAsiaTheme="majorEastAsia"/>
          <w:sz w:val="28"/>
          <w:szCs w:val="28"/>
        </w:rPr>
        <w:t>8</w:t>
      </w:r>
      <w:r>
        <w:rPr>
          <w:rFonts w:hint="eastAsia" w:asciiTheme="majorEastAsia" w:hAnsiTheme="majorEastAsia" w:eastAsiaTheme="majorEastAsia"/>
          <w:sz w:val="28"/>
          <w:szCs w:val="28"/>
        </w:rPr>
        <w:t>%。业务活动预期指数各月均处于5</w:t>
      </w:r>
      <w:r>
        <w:rPr>
          <w:rFonts w:asciiTheme="majorEastAsia" w:hAnsiTheme="majorEastAsia" w:eastAsiaTheme="majorEastAsia"/>
          <w:sz w:val="28"/>
          <w:szCs w:val="28"/>
        </w:rPr>
        <w:t>3</w:t>
      </w:r>
      <w:r>
        <w:rPr>
          <w:rFonts w:hint="eastAsia" w:asciiTheme="majorEastAsia" w:hAnsiTheme="majorEastAsia" w:eastAsiaTheme="majorEastAsia"/>
          <w:sz w:val="28"/>
          <w:szCs w:val="28"/>
        </w:rPr>
        <w:t>.</w:t>
      </w:r>
      <w:r>
        <w:rPr>
          <w:rFonts w:asciiTheme="majorEastAsia" w:hAnsiTheme="majorEastAsia" w:eastAsiaTheme="majorEastAsia"/>
          <w:sz w:val="28"/>
          <w:szCs w:val="28"/>
        </w:rPr>
        <w:t>0</w:t>
      </w:r>
      <w:r>
        <w:rPr>
          <w:rFonts w:hint="eastAsia" w:asciiTheme="majorEastAsia" w:hAnsiTheme="majorEastAsia" w:eastAsiaTheme="majorEastAsia"/>
          <w:sz w:val="28"/>
          <w:szCs w:val="28"/>
        </w:rPr>
        <w:t>%以上景气区间，平均值为5</w:t>
      </w:r>
      <w:r>
        <w:rPr>
          <w:rFonts w:asciiTheme="majorEastAsia" w:hAnsiTheme="majorEastAsia" w:eastAsiaTheme="majorEastAsia"/>
          <w:sz w:val="28"/>
          <w:szCs w:val="28"/>
        </w:rPr>
        <w:t>6</w:t>
      </w:r>
      <w:r>
        <w:rPr>
          <w:rFonts w:hint="eastAsia" w:asciiTheme="majorEastAsia" w:hAnsiTheme="majorEastAsia" w:eastAsiaTheme="majorEastAsia"/>
          <w:sz w:val="28"/>
          <w:szCs w:val="28"/>
        </w:rPr>
        <w:t>.</w:t>
      </w:r>
      <w:r>
        <w:rPr>
          <w:rFonts w:asciiTheme="majorEastAsia" w:hAnsiTheme="majorEastAsia" w:eastAsiaTheme="majorEastAsia"/>
          <w:sz w:val="28"/>
          <w:szCs w:val="28"/>
        </w:rPr>
        <w:t>1</w:t>
      </w:r>
      <w:r>
        <w:rPr>
          <w:rFonts w:hint="eastAsia" w:asciiTheme="majorEastAsia" w:hAnsiTheme="majorEastAsia" w:eastAsiaTheme="majorEastAsia"/>
          <w:sz w:val="28"/>
          <w:szCs w:val="28"/>
        </w:rPr>
        <w:t>%。</w:t>
      </w:r>
      <w:r>
        <w:rPr>
          <w:rFonts w:hint="eastAsia"/>
          <w:bCs/>
          <w:sz w:val="28"/>
          <w:szCs w:val="28"/>
        </w:rPr>
        <w:t>新订单指数、业务预期活动指数的持续高位运行，反映出企业对未来市场信心饱满，</w:t>
      </w:r>
      <w:r>
        <w:rPr>
          <w:rFonts w:hint="eastAsia" w:asciiTheme="minorEastAsia" w:hAnsiTheme="minorEastAsia" w:eastAsiaTheme="minorEastAsia"/>
          <w:sz w:val="28"/>
          <w:szCs w:val="28"/>
        </w:rPr>
        <w:t>后期物流业有望继续保持增长态势。</w:t>
      </w:r>
    </w:p>
    <w:p>
      <w:pPr>
        <w:pStyle w:val="5"/>
        <w:shd w:val="clear" w:color="auto" w:fill="FFFFFF"/>
        <w:spacing w:before="0" w:beforeAutospacing="0" w:after="0" w:afterAutospacing="0" w:line="360" w:lineRule="auto"/>
        <w:rPr>
          <w:bCs/>
          <w:sz w:val="28"/>
          <w:szCs w:val="28"/>
        </w:rPr>
      </w:pPr>
      <w:r>
        <w:drawing>
          <wp:inline distT="0" distB="0" distL="0" distR="0">
            <wp:extent cx="5274310" cy="2712085"/>
            <wp:effectExtent l="0" t="0" r="0" b="0"/>
            <wp:docPr id="8" name="图表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>
      <w:pPr>
        <w:spacing w:line="360" w:lineRule="auto"/>
        <w:ind w:firstLine="1669" w:firstLineChars="792"/>
        <w:rPr>
          <w:rFonts w:ascii="宋体" w:hAnsi="宋体" w:eastAsia="宋体" w:cs="宋体"/>
          <w:kern w:val="0"/>
          <w:szCs w:val="21"/>
        </w:rPr>
      </w:pPr>
      <w:r>
        <w:rPr>
          <w:rFonts w:hint="eastAsia" w:asciiTheme="majorEastAsia" w:hAnsiTheme="majorEastAsia" w:eastAsiaTheme="majorEastAsia"/>
          <w:b/>
          <w:szCs w:val="21"/>
        </w:rPr>
        <w:t>图6  20</w:t>
      </w:r>
      <w:r>
        <w:rPr>
          <w:rFonts w:asciiTheme="majorEastAsia" w:hAnsiTheme="majorEastAsia" w:eastAsiaTheme="majorEastAsia"/>
          <w:b/>
          <w:szCs w:val="21"/>
        </w:rPr>
        <w:t>22</w:t>
      </w:r>
      <w:r>
        <w:rPr>
          <w:rFonts w:hint="eastAsia" w:asciiTheme="majorEastAsia" w:hAnsiTheme="majorEastAsia" w:eastAsiaTheme="majorEastAsia"/>
          <w:b/>
          <w:szCs w:val="21"/>
        </w:rPr>
        <w:t>年1-</w:t>
      </w:r>
      <w:r>
        <w:rPr>
          <w:rFonts w:asciiTheme="majorEastAsia" w:hAnsiTheme="majorEastAsia" w:eastAsiaTheme="majorEastAsia"/>
          <w:b/>
          <w:szCs w:val="21"/>
        </w:rPr>
        <w:t>6</w:t>
      </w:r>
      <w:r>
        <w:rPr>
          <w:rFonts w:hint="eastAsia" w:asciiTheme="majorEastAsia" w:hAnsiTheme="majorEastAsia" w:eastAsiaTheme="majorEastAsia"/>
          <w:b/>
          <w:szCs w:val="21"/>
        </w:rPr>
        <w:t>月新订单指数、业务活动预期指数走势图</w:t>
      </w:r>
    </w:p>
    <w:p>
      <w:pPr>
        <w:ind w:firstLine="1877" w:firstLineChars="894"/>
        <w:rPr>
          <w:szCs w:val="21"/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7960892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8</w:t>
        </w:r>
        <w:r>
          <w:fldChar w:fldCharType="end"/>
        </w:r>
      </w:p>
    </w:sdtContent>
  </w:sdt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AwMmQ0NWJkNzQ2ZDc5NDcyZGJhZGQ0Zjc4ZTRhYmMifQ=="/>
  </w:docVars>
  <w:rsids>
    <w:rsidRoot w:val="006E11D8"/>
    <w:rsid w:val="00004BCE"/>
    <w:rsid w:val="000122FF"/>
    <w:rsid w:val="000160C2"/>
    <w:rsid w:val="00031FE0"/>
    <w:rsid w:val="00033B17"/>
    <w:rsid w:val="00065F83"/>
    <w:rsid w:val="00092722"/>
    <w:rsid w:val="00093750"/>
    <w:rsid w:val="000B1A91"/>
    <w:rsid w:val="000C6C91"/>
    <w:rsid w:val="000D0C29"/>
    <w:rsid w:val="000D7128"/>
    <w:rsid w:val="000E1747"/>
    <w:rsid w:val="000F08B6"/>
    <w:rsid w:val="000F2F07"/>
    <w:rsid w:val="000F75C9"/>
    <w:rsid w:val="00111822"/>
    <w:rsid w:val="00112C3C"/>
    <w:rsid w:val="001155F2"/>
    <w:rsid w:val="00143CD1"/>
    <w:rsid w:val="00150736"/>
    <w:rsid w:val="0016030E"/>
    <w:rsid w:val="0017098F"/>
    <w:rsid w:val="0018219B"/>
    <w:rsid w:val="00190284"/>
    <w:rsid w:val="001A5CA2"/>
    <w:rsid w:val="001C219B"/>
    <w:rsid w:val="001C7FB2"/>
    <w:rsid w:val="001D5654"/>
    <w:rsid w:val="001E6867"/>
    <w:rsid w:val="00204958"/>
    <w:rsid w:val="002071DF"/>
    <w:rsid w:val="00207363"/>
    <w:rsid w:val="0023032B"/>
    <w:rsid w:val="002348F4"/>
    <w:rsid w:val="00242F59"/>
    <w:rsid w:val="002655E4"/>
    <w:rsid w:val="00271710"/>
    <w:rsid w:val="002736C7"/>
    <w:rsid w:val="00275E66"/>
    <w:rsid w:val="0028328A"/>
    <w:rsid w:val="00290D96"/>
    <w:rsid w:val="002B71BF"/>
    <w:rsid w:val="002D6000"/>
    <w:rsid w:val="002F565E"/>
    <w:rsid w:val="002F663E"/>
    <w:rsid w:val="00314682"/>
    <w:rsid w:val="00320C97"/>
    <w:rsid w:val="00334AFB"/>
    <w:rsid w:val="00335D72"/>
    <w:rsid w:val="00364E58"/>
    <w:rsid w:val="003703A8"/>
    <w:rsid w:val="00370920"/>
    <w:rsid w:val="00372908"/>
    <w:rsid w:val="00375ACE"/>
    <w:rsid w:val="003C4D99"/>
    <w:rsid w:val="003D2D46"/>
    <w:rsid w:val="003D3878"/>
    <w:rsid w:val="003D5F18"/>
    <w:rsid w:val="003E0381"/>
    <w:rsid w:val="003E1F9C"/>
    <w:rsid w:val="003E5856"/>
    <w:rsid w:val="003F1014"/>
    <w:rsid w:val="004118E9"/>
    <w:rsid w:val="004222C9"/>
    <w:rsid w:val="004525BA"/>
    <w:rsid w:val="00494B5D"/>
    <w:rsid w:val="004B24D2"/>
    <w:rsid w:val="004C136F"/>
    <w:rsid w:val="004C5B6B"/>
    <w:rsid w:val="004E2E0E"/>
    <w:rsid w:val="004F7253"/>
    <w:rsid w:val="00502137"/>
    <w:rsid w:val="00503B76"/>
    <w:rsid w:val="0052138A"/>
    <w:rsid w:val="0052642C"/>
    <w:rsid w:val="005269C9"/>
    <w:rsid w:val="00542C49"/>
    <w:rsid w:val="00542ECB"/>
    <w:rsid w:val="00550DB7"/>
    <w:rsid w:val="00575276"/>
    <w:rsid w:val="0057752A"/>
    <w:rsid w:val="00585FF1"/>
    <w:rsid w:val="00587CBE"/>
    <w:rsid w:val="00593F4E"/>
    <w:rsid w:val="00594250"/>
    <w:rsid w:val="005C2B63"/>
    <w:rsid w:val="005D271B"/>
    <w:rsid w:val="005E0F37"/>
    <w:rsid w:val="005E39E9"/>
    <w:rsid w:val="005F0322"/>
    <w:rsid w:val="00602998"/>
    <w:rsid w:val="00605E44"/>
    <w:rsid w:val="006175BE"/>
    <w:rsid w:val="00621068"/>
    <w:rsid w:val="0063605F"/>
    <w:rsid w:val="00661CB4"/>
    <w:rsid w:val="00683F07"/>
    <w:rsid w:val="0069051F"/>
    <w:rsid w:val="00695A03"/>
    <w:rsid w:val="006A1617"/>
    <w:rsid w:val="006A35F4"/>
    <w:rsid w:val="006B023D"/>
    <w:rsid w:val="006C248C"/>
    <w:rsid w:val="006C66A3"/>
    <w:rsid w:val="006D1336"/>
    <w:rsid w:val="006D528D"/>
    <w:rsid w:val="006D6434"/>
    <w:rsid w:val="006E11D8"/>
    <w:rsid w:val="00700992"/>
    <w:rsid w:val="00717A9F"/>
    <w:rsid w:val="0073788E"/>
    <w:rsid w:val="00744507"/>
    <w:rsid w:val="00762625"/>
    <w:rsid w:val="0076521A"/>
    <w:rsid w:val="0077351F"/>
    <w:rsid w:val="007760A8"/>
    <w:rsid w:val="00780B2F"/>
    <w:rsid w:val="00781695"/>
    <w:rsid w:val="0078349B"/>
    <w:rsid w:val="00796541"/>
    <w:rsid w:val="007B3659"/>
    <w:rsid w:val="007E01F5"/>
    <w:rsid w:val="007F02FB"/>
    <w:rsid w:val="00807212"/>
    <w:rsid w:val="008411E4"/>
    <w:rsid w:val="00843013"/>
    <w:rsid w:val="00847EF2"/>
    <w:rsid w:val="00856B14"/>
    <w:rsid w:val="00872ACE"/>
    <w:rsid w:val="008764FC"/>
    <w:rsid w:val="00882556"/>
    <w:rsid w:val="00884285"/>
    <w:rsid w:val="008900E5"/>
    <w:rsid w:val="00895089"/>
    <w:rsid w:val="008B1842"/>
    <w:rsid w:val="008C2FF9"/>
    <w:rsid w:val="008D1EFB"/>
    <w:rsid w:val="008E5DD9"/>
    <w:rsid w:val="0091218E"/>
    <w:rsid w:val="00914027"/>
    <w:rsid w:val="00915093"/>
    <w:rsid w:val="00931004"/>
    <w:rsid w:val="00935958"/>
    <w:rsid w:val="00935D5B"/>
    <w:rsid w:val="00936670"/>
    <w:rsid w:val="0095199B"/>
    <w:rsid w:val="00954085"/>
    <w:rsid w:val="00954751"/>
    <w:rsid w:val="009734DC"/>
    <w:rsid w:val="00991F2C"/>
    <w:rsid w:val="00995B4D"/>
    <w:rsid w:val="009A59F1"/>
    <w:rsid w:val="009B0F22"/>
    <w:rsid w:val="009D3272"/>
    <w:rsid w:val="009F01BC"/>
    <w:rsid w:val="009F2D69"/>
    <w:rsid w:val="009F388B"/>
    <w:rsid w:val="00A155AD"/>
    <w:rsid w:val="00A26B9A"/>
    <w:rsid w:val="00A37708"/>
    <w:rsid w:val="00A40C29"/>
    <w:rsid w:val="00A473BB"/>
    <w:rsid w:val="00A52781"/>
    <w:rsid w:val="00A64249"/>
    <w:rsid w:val="00A72DF7"/>
    <w:rsid w:val="00A73FC7"/>
    <w:rsid w:val="00A84027"/>
    <w:rsid w:val="00AA062B"/>
    <w:rsid w:val="00AA43BA"/>
    <w:rsid w:val="00AB14CE"/>
    <w:rsid w:val="00AD223C"/>
    <w:rsid w:val="00AD3D2A"/>
    <w:rsid w:val="00AD7D60"/>
    <w:rsid w:val="00AE2224"/>
    <w:rsid w:val="00AF2A63"/>
    <w:rsid w:val="00B07177"/>
    <w:rsid w:val="00B544FC"/>
    <w:rsid w:val="00B57835"/>
    <w:rsid w:val="00B65703"/>
    <w:rsid w:val="00BB23BA"/>
    <w:rsid w:val="00BB7B87"/>
    <w:rsid w:val="00BB7CAC"/>
    <w:rsid w:val="00BC63BF"/>
    <w:rsid w:val="00BC7F43"/>
    <w:rsid w:val="00BD5848"/>
    <w:rsid w:val="00C2633F"/>
    <w:rsid w:val="00C31118"/>
    <w:rsid w:val="00C656BC"/>
    <w:rsid w:val="00C70052"/>
    <w:rsid w:val="00C82D81"/>
    <w:rsid w:val="00C8677F"/>
    <w:rsid w:val="00C87873"/>
    <w:rsid w:val="00C94C05"/>
    <w:rsid w:val="00CB37DB"/>
    <w:rsid w:val="00CC244F"/>
    <w:rsid w:val="00CD05C0"/>
    <w:rsid w:val="00CE0327"/>
    <w:rsid w:val="00CE3ADF"/>
    <w:rsid w:val="00D04429"/>
    <w:rsid w:val="00D142A7"/>
    <w:rsid w:val="00D20232"/>
    <w:rsid w:val="00D25C15"/>
    <w:rsid w:val="00D2778A"/>
    <w:rsid w:val="00D34A9E"/>
    <w:rsid w:val="00D35546"/>
    <w:rsid w:val="00D35B9A"/>
    <w:rsid w:val="00D41416"/>
    <w:rsid w:val="00D43D6B"/>
    <w:rsid w:val="00D61F1C"/>
    <w:rsid w:val="00D62506"/>
    <w:rsid w:val="00D75780"/>
    <w:rsid w:val="00D8550D"/>
    <w:rsid w:val="00DA1AE5"/>
    <w:rsid w:val="00DB085C"/>
    <w:rsid w:val="00DD1968"/>
    <w:rsid w:val="00DD2252"/>
    <w:rsid w:val="00DD3580"/>
    <w:rsid w:val="00DE6DC1"/>
    <w:rsid w:val="00DF0262"/>
    <w:rsid w:val="00DF6FBE"/>
    <w:rsid w:val="00DF74AD"/>
    <w:rsid w:val="00DF7BFE"/>
    <w:rsid w:val="00E03869"/>
    <w:rsid w:val="00E15820"/>
    <w:rsid w:val="00E1691E"/>
    <w:rsid w:val="00E53749"/>
    <w:rsid w:val="00E53A96"/>
    <w:rsid w:val="00E8445F"/>
    <w:rsid w:val="00E86C84"/>
    <w:rsid w:val="00E9332E"/>
    <w:rsid w:val="00ED0BDF"/>
    <w:rsid w:val="00EF2F64"/>
    <w:rsid w:val="00F13FA3"/>
    <w:rsid w:val="00F5375E"/>
    <w:rsid w:val="00F62C7F"/>
    <w:rsid w:val="00F93852"/>
    <w:rsid w:val="00FC1C41"/>
    <w:rsid w:val="00FC1E72"/>
    <w:rsid w:val="00FF3B6C"/>
    <w:rsid w:val="1265024F"/>
    <w:rsid w:val="1DB87350"/>
    <w:rsid w:val="22247E13"/>
    <w:rsid w:val="2E032D0A"/>
    <w:rsid w:val="30D93EFB"/>
    <w:rsid w:val="4F0869F6"/>
    <w:rsid w:val="709F70F9"/>
    <w:rsid w:val="773FA78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90" w:lineRule="atLeast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 w:line="240" w:lineRule="auto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0">
    <w:name w:val="页眉 Char"/>
    <w:basedOn w:val="7"/>
    <w:link w:val="4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hart" Target="charts/chart3.xml"/><Relationship Id="rId8" Type="http://schemas.openxmlformats.org/officeDocument/2006/relationships/chart" Target="charts/chart2.xml"/><Relationship Id="rId7" Type="http://schemas.openxmlformats.org/officeDocument/2006/relationships/chart" Target="charts/chart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chart" Target="charts/chart6.xml"/><Relationship Id="rId11" Type="http://schemas.openxmlformats.org/officeDocument/2006/relationships/chart" Target="charts/chart5.xml"/><Relationship Id="rId10" Type="http://schemas.openxmlformats.org/officeDocument/2006/relationships/chart" Target="charts/chart4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istrator\Desktop\&#29289;&#27969;&#21327;&#20250;\&#31119;&#24030;&#24066;&#29289;&#27969;&#34892;&#19994;&#26223;&#27668;\202206\&#31119;&#24030;&#24066;2022&#24180;6&#26376;&#29289;&#27969;&#19994;&#26223;&#27668;&#35843;&#26597;&#32479;&#35745;&#20449;&#24687;&#34920;&#32463;&#27982;&#65288;&#20174;&#30465;20&#24180;8&#26376;&#24320;&#22987;&#20986;&#38169;%20&#28041;&#21450;6%209%2010%2012&#21644;13&#65289;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istrator\Desktop\&#29289;&#27969;&#21327;&#20250;\&#31119;&#24030;&#24066;&#29289;&#27969;&#34892;&#19994;&#26223;&#27668;\202206\&#31119;&#24030;&#24066;2022&#24180;6&#26376;&#29289;&#27969;&#19994;&#26223;&#27668;&#35843;&#26597;&#32479;&#35745;&#20449;&#24687;&#34920;&#32463;&#27982;&#65288;&#20174;&#30465;20&#24180;8&#26376;&#24320;&#22987;&#20986;&#38169;%20&#28041;&#21450;6%209%2010%2012&#21644;13&#65289;.xls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istrator\Desktop\&#29289;&#27969;&#21327;&#20250;\&#31119;&#24030;&#24066;&#29289;&#27969;&#34892;&#19994;&#26223;&#27668;\202206\&#31119;&#24030;&#24066;2022&#24180;6&#26376;&#29289;&#27969;&#19994;&#26223;&#27668;&#35843;&#26597;&#32479;&#35745;&#20449;&#24687;&#34920;&#32463;&#27982;&#65288;&#20174;&#30465;20&#24180;8&#26376;&#24320;&#22987;&#20986;&#38169;%20&#28041;&#21450;6%209%2010%2012&#21644;13&#65289;.xls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istrator\Desktop\&#29289;&#27969;&#21327;&#20250;\&#31119;&#24030;&#24066;&#29289;&#27969;&#34892;&#19994;&#26223;&#27668;\202206\&#31119;&#24030;&#24066;2022&#24180;6&#26376;&#29289;&#27969;&#19994;&#26223;&#27668;&#35843;&#26597;&#32479;&#35745;&#20449;&#24687;&#34920;&#32463;&#27982;&#65288;&#20174;&#30465;20&#24180;8&#26376;&#24320;&#22987;&#20986;&#38169;%20&#28041;&#21450;6%209%2010%2012&#21644;13&#65289;.xls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istrator\Desktop\&#29289;&#27969;&#21327;&#20250;\&#31119;&#24030;&#24066;&#29289;&#27969;&#34892;&#19994;&#26223;&#27668;\202206\&#31119;&#24030;&#24066;2022&#24180;6&#26376;&#29289;&#27969;&#19994;&#26223;&#27668;&#35843;&#26597;&#32479;&#35745;&#20449;&#24687;&#34920;&#32463;&#27982;&#65288;&#20174;&#30465;20&#24180;8&#26376;&#24320;&#22987;&#20986;&#38169;%20&#28041;&#21450;6%209%2010%2012&#21644;13&#65289;.xls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istrator\Desktop\&#29289;&#27969;&#21327;&#20250;\&#31119;&#24030;&#24066;&#29289;&#27969;&#34892;&#19994;&#26223;&#27668;\202206\&#31119;&#24030;&#24066;2022&#24180;6&#26376;&#29289;&#27969;&#19994;&#26223;&#27668;&#35843;&#26597;&#32479;&#35745;&#20449;&#24687;&#34920;&#32463;&#27982;&#65288;&#20174;&#30465;20&#24180;8&#26376;&#24320;&#22987;&#20986;&#38169;%20&#28041;&#21450;6%209%2010%2012&#21644;13&#65289;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false"/>
  <c:lang val="zh-CN"/>
  <c:roundedCorners val="false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true"/>
          <a:lstStyle/>
          <a:p>
            <a:pPr algn="l">
              <a:defRPr lang="zh-CN" sz="1200" b="1" i="0" u="none" strike="noStrike" kern="1200" spc="0" baseline="0">
                <a:solidFill>
                  <a:sysClr val="windowText" lastClr="000000"/>
                </a:solidFill>
                <a:latin typeface="+mn-ea"/>
                <a:ea typeface="+mn-ea"/>
                <a:cs typeface="+mn-cs"/>
              </a:defRPr>
            </a:pPr>
            <a:r>
              <a:rPr lang="en-US" altLang="zh-CN" sz="1200" b="1" i="0" baseline="0">
                <a:solidFill>
                  <a:sysClr val="windowText" lastClr="000000"/>
                </a:solidFill>
                <a:effectLst/>
                <a:latin typeface="+mn-ea"/>
                <a:ea typeface="+mn-ea"/>
              </a:rPr>
              <a:t>2022</a:t>
            </a:r>
            <a:r>
              <a:rPr lang="zh-CN" altLang="zh-CN" sz="1200" b="1" i="0" baseline="0">
                <a:solidFill>
                  <a:sysClr val="windowText" lastClr="000000"/>
                </a:solidFill>
                <a:effectLst/>
                <a:latin typeface="+mn-ea"/>
                <a:ea typeface="+mn-ea"/>
              </a:rPr>
              <a:t>年</a:t>
            </a:r>
            <a:r>
              <a:rPr lang="en-US" altLang="zh-CN" sz="1200" b="1" i="0" baseline="0">
                <a:solidFill>
                  <a:sysClr val="windowText" lastClr="000000"/>
                </a:solidFill>
                <a:effectLst/>
                <a:latin typeface="+mn-ea"/>
                <a:ea typeface="+mn-ea"/>
              </a:rPr>
              <a:t>1-6</a:t>
            </a:r>
            <a:r>
              <a:rPr lang="zh-CN" altLang="zh-CN" sz="1200" b="1" i="0" baseline="0">
                <a:solidFill>
                  <a:sysClr val="windowText" lastClr="000000"/>
                </a:solidFill>
                <a:effectLst/>
                <a:latin typeface="+mn-ea"/>
                <a:ea typeface="+mn-ea"/>
              </a:rPr>
              <a:t>月物流业景气指数（</a:t>
            </a:r>
            <a:r>
              <a:rPr lang="en-US" altLang="zh-CN" sz="1200" b="1" i="0" baseline="0">
                <a:solidFill>
                  <a:sysClr val="windowText" lastClr="000000"/>
                </a:solidFill>
                <a:effectLst/>
                <a:latin typeface="+mn-ea"/>
                <a:ea typeface="+mn-ea"/>
              </a:rPr>
              <a:t>LPI</a:t>
            </a:r>
            <a:r>
              <a:rPr lang="zh-CN" altLang="zh-CN" sz="1200" b="1" i="0" baseline="0">
                <a:solidFill>
                  <a:sysClr val="windowText" lastClr="000000"/>
                </a:solidFill>
                <a:effectLst/>
                <a:latin typeface="+mn-ea"/>
                <a:ea typeface="+mn-ea"/>
              </a:rPr>
              <a:t>）走势图（</a:t>
            </a:r>
            <a:r>
              <a:rPr lang="en-US" altLang="zh-CN" sz="1200" b="1" i="0" baseline="0">
                <a:solidFill>
                  <a:sysClr val="windowText" lastClr="000000"/>
                </a:solidFill>
                <a:effectLst/>
                <a:latin typeface="+mn-ea"/>
                <a:ea typeface="+mn-ea"/>
              </a:rPr>
              <a:t>%</a:t>
            </a:r>
            <a:r>
              <a:rPr lang="zh-CN" altLang="zh-CN" sz="1200" b="1" i="0" baseline="0">
                <a:solidFill>
                  <a:sysClr val="windowText" lastClr="000000"/>
                </a:solidFill>
                <a:effectLst/>
                <a:latin typeface="+mn-ea"/>
                <a:ea typeface="+mn-ea"/>
              </a:rPr>
              <a:t>）</a:t>
            </a:r>
            <a:endParaRPr lang="zh-CN" altLang="zh-CN" sz="1200" b="1">
              <a:solidFill>
                <a:sysClr val="windowText" lastClr="000000"/>
              </a:solidFill>
              <a:effectLst/>
              <a:latin typeface="+mn-ea"/>
              <a:ea typeface="+mn-ea"/>
            </a:endParaRPr>
          </a:p>
        </c:rich>
      </c:tx>
      <c:layout>
        <c:manualLayout>
          <c:xMode val="edge"/>
          <c:yMode val="edge"/>
          <c:x val="0.201797584036935"/>
          <c:y val="0.0306622083198504"/>
        </c:manualLayout>
      </c:layout>
      <c:overlay val="false"/>
      <c:spPr>
        <a:noFill/>
        <a:ln w="25400">
          <a:noFill/>
        </a:ln>
      </c:spPr>
    </c:title>
    <c:autoTitleDeleted val="false"/>
    <c:plotArea>
      <c:layout>
        <c:manualLayout>
          <c:layoutTarget val="inner"/>
          <c:xMode val="edge"/>
          <c:yMode val="edge"/>
          <c:x val="0.137885120680693"/>
          <c:y val="0.122662460763365"/>
          <c:w val="0.823721775710679"/>
          <c:h val="0.732176945035155"/>
        </c:manualLayout>
      </c:layout>
      <c:lineChart>
        <c:grouping val="standard"/>
        <c:varyColors val="false"/>
        <c:ser>
          <c:idx val="0"/>
          <c:order val="0"/>
          <c:tx>
            <c:strRef>
              <c:f>'2021-2022图表 '!$A$4</c:f>
              <c:strCache>
                <c:ptCount val="1"/>
                <c:pt idx="0">
                  <c:v>2022年1月-2021年12月物流业景气指数（LPI）走势图（%）</c:v>
                </c:pt>
              </c:strCache>
            </c:strRef>
          </c:tx>
          <c:spPr>
            <a:ln w="28575" cap="rnd" cmpd="sng" algn="ctr">
              <a:solidFill>
                <a:schemeClr val="accent1"/>
              </a:solidFill>
              <a:prstDash val="solid"/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 cap="flat" cmpd="sng" algn="ctr">
                <a:solidFill>
                  <a:schemeClr val="accent1"/>
                </a:solidFill>
                <a:prstDash val="solid"/>
                <a:round/>
              </a:ln>
              <a:effectLst/>
            </c:spPr>
          </c:marker>
          <c:dLbls>
            <c:spPr>
              <a:noFill/>
              <a:ln w="25400"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true">
                <a:spAutoFit/>
              </a:bodyPr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r"/>
            <c:showLegendKey val="false"/>
            <c:showVal val="true"/>
            <c:showCatName val="false"/>
            <c:showSerName val="false"/>
            <c:showPercent val="false"/>
            <c:showBubbleSize val="false"/>
            <c:showLeaderLines val="false"/>
            <c:extLst>
              <c:ext xmlns:c15="http://schemas.microsoft.com/office/drawing/2012/chart" uri="{CE6537A1-D6FC-4f65-9D91-7224C49458BB}">
                <c15:layout/>
                <c15:showLeaderLines val="false"/>
                <c15:leaderLines/>
              </c:ext>
            </c:extLst>
          </c:dLbls>
          <c:cat>
            <c:numRef>
              <c:f>'2021-2022图表 '!$B$3:$G$3</c:f>
              <c:numCache>
                <c:formatCode>yyyy"年"m"月"</c:formatCode>
                <c:ptCount val="6"/>
                <c:pt idx="0" c:formatCode="yyyy&quot;年&quot;m&quot;月&quot;">
                  <c:v>44713</c:v>
                </c:pt>
                <c:pt idx="1" c:formatCode="yyyy&quot;年&quot;m&quot;月&quot;">
                  <c:v>44682</c:v>
                </c:pt>
                <c:pt idx="2" c:formatCode="yyyy&quot;年&quot;m&quot;月&quot;">
                  <c:v>44652</c:v>
                </c:pt>
                <c:pt idx="3" c:formatCode="yyyy&quot;年&quot;m&quot;月&quot;">
                  <c:v>44621</c:v>
                </c:pt>
                <c:pt idx="4" c:formatCode="yyyy&quot;年&quot;m&quot;月&quot;">
                  <c:v>44593</c:v>
                </c:pt>
                <c:pt idx="5" c:formatCode="yyyy&quot;年&quot;m&quot;月&quot;">
                  <c:v>44562</c:v>
                </c:pt>
              </c:numCache>
            </c:numRef>
          </c:cat>
          <c:val>
            <c:numRef>
              <c:f>'2021-2022图表 '!$B$4:$G$4</c:f>
              <c:numCache>
                <c:formatCode>0.0_ </c:formatCode>
                <c:ptCount val="6"/>
                <c:pt idx="0">
                  <c:v>52.6155373763292</c:v>
                </c:pt>
                <c:pt idx="1">
                  <c:v>52.6</c:v>
                </c:pt>
                <c:pt idx="2">
                  <c:v>52</c:v>
                </c:pt>
                <c:pt idx="3">
                  <c:v>53.2</c:v>
                </c:pt>
                <c:pt idx="4">
                  <c:v>52.9</c:v>
                </c:pt>
                <c:pt idx="5">
                  <c:v>53.2</c:v>
                </c:pt>
              </c:numCache>
            </c:numRef>
          </c:val>
          <c:smooth val="false"/>
        </c:ser>
        <c:dLbls>
          <c:showLegendKey val="false"/>
          <c:showVal val="true"/>
          <c:showCatName val="false"/>
          <c:showSerName val="false"/>
          <c:showPercent val="false"/>
          <c:showBubbleSize val="false"/>
        </c:dLbls>
        <c:marker val="true"/>
        <c:smooth val="false"/>
        <c:axId val="139884800"/>
        <c:axId val="140029952"/>
      </c:lineChart>
      <c:dateAx>
        <c:axId val="139884800"/>
        <c:scaling>
          <c:orientation val="minMax"/>
        </c:scaling>
        <c:delete val="false"/>
        <c:axPos val="b"/>
        <c:numFmt formatCode="yyyy&quot;年&quot;m&quot;月&quot;" sourceLinked="false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true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140029952"/>
        <c:crosses val="autoZero"/>
        <c:auto val="true"/>
        <c:lblOffset val="100"/>
        <c:baseTimeUnit val="months"/>
      </c:dateAx>
      <c:valAx>
        <c:axId val="140029952"/>
        <c:scaling>
          <c:orientation val="minMax"/>
          <c:max val="54"/>
          <c:min val="52"/>
        </c:scaling>
        <c:delete val="false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prstDash val="solid"/>
              <a:round/>
            </a:ln>
            <a:effectLst/>
          </c:spPr>
        </c:majorGridlines>
        <c:numFmt formatCode="0.0_ " sourceLinked="true"/>
        <c:majorTickMark val="none"/>
        <c:minorTickMark val="none"/>
        <c:tickLblPos val="nextTo"/>
        <c:spPr>
          <a:ln w="9525" cap="flat" cmpd="sng" algn="ctr">
            <a:noFill/>
            <a:prstDash val="solid"/>
            <a:round/>
          </a:ln>
        </c:spPr>
        <c:txPr>
          <a:bodyPr rot="-60000000" spcFirstLastPara="1" vertOverflow="ellipsis" vert="horz" wrap="square" anchor="ctr" anchorCtr="true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139884800"/>
        <c:crosses val="autoZero"/>
        <c:crossBetween val="between"/>
        <c:majorUnit val="0.1"/>
      </c:valAx>
      <c:spPr>
        <a:noFill/>
        <a:ln w="25400">
          <a:noFill/>
        </a:ln>
      </c:spPr>
    </c:plotArea>
    <c:plotVisOnly val="true"/>
    <c:dispBlanksAs val="gap"/>
    <c:showDLblsOverMax val="false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prstDash val="solid"/>
      <a:round/>
    </a:ln>
    <a:effectLst/>
  </c:spPr>
  <c:txPr>
    <a:bodyPr/>
    <a:lstStyle/>
    <a:p>
      <a:pPr>
        <a:defRPr lang="zh-CN"/>
      </a:pPr>
    </a:p>
  </c:txPr>
  <c:externalData r:id="rId1">
    <c:autoUpdate val="false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false"/>
  <c:lang val="zh-CN"/>
  <c:roundedCorners val="false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false"/>
      <c:txPr>
        <a:bodyPr rot="0" spcFirstLastPara="0" vertOverflow="ellipsis" vert="horz" wrap="square" anchor="ctr" anchorCtr="true"/>
        <a:lstStyle/>
        <a:p>
          <a:pPr>
            <a:defRPr lang="zh-CN" sz="1200" b="1" i="0" u="none" strike="noStrike" kern="1200" baseline="0">
              <a:solidFill>
                <a:sysClr val="windowText" lastClr="000000"/>
              </a:solidFill>
              <a:latin typeface="+mn-ea"/>
              <a:ea typeface="+mn-ea"/>
              <a:cs typeface="+mn-cs"/>
            </a:defRPr>
          </a:pPr>
        </a:p>
      </c:txPr>
    </c:title>
    <c:autoTitleDeleted val="false"/>
    <c:plotArea>
      <c:layout>
        <c:manualLayout>
          <c:layoutTarget val="inner"/>
          <c:xMode val="edge"/>
          <c:yMode val="edge"/>
          <c:x val="0.101955463703377"/>
          <c:y val="0.207161384023068"/>
          <c:w val="0.849732431855912"/>
          <c:h val="0.502612264376044"/>
        </c:manualLayout>
      </c:layout>
      <c:lineChart>
        <c:grouping val="standard"/>
        <c:varyColors val="false"/>
        <c:ser>
          <c:idx val="0"/>
          <c:order val="0"/>
          <c:tx>
            <c:strRef>
              <c:f>'2021-2022图表 '!$A$126</c:f>
              <c:strCache>
                <c:ptCount val="1"/>
                <c:pt idx="0">
                  <c:v>业务总量指数（%）</c:v>
                </c:pt>
              </c:strCache>
            </c:strRef>
          </c:tx>
          <c:dLbls>
            <c:spPr>
              <a:noFill/>
              <a:ln w="25400"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true"/>
              <a:lstStyle/>
              <a:p>
                <a:pPr>
                  <a:defRPr lang="zh-CN"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r"/>
            <c:showLegendKey val="false"/>
            <c:showVal val="true"/>
            <c:showCatName val="false"/>
            <c:showSerName val="false"/>
            <c:showPercent val="false"/>
            <c:showBubbleSize val="false"/>
            <c:showLeaderLines val="false"/>
            <c:extLst>
              <c:ext xmlns:c15="http://schemas.microsoft.com/office/drawing/2012/chart" uri="{CE6537A1-D6FC-4f65-9D91-7224C49458BB}">
                <c15:layout/>
                <c15:showLeaderLines val="false"/>
                <c15:leaderLines/>
              </c:ext>
            </c:extLst>
          </c:dLbls>
          <c:cat>
            <c:numRef>
              <c:f>'2021-2022图表 '!$H$125:$M$125</c:f>
              <c:numCache>
                <c:formatCode>yyyy"年"m"月"</c:formatCode>
                <c:ptCount val="6"/>
                <c:pt idx="0" c:formatCode="yyyy&quot;年&quot;m&quot;月&quot;">
                  <c:v>44564</c:v>
                </c:pt>
                <c:pt idx="1" c:formatCode="yyyy&quot;年&quot;m&quot;月&quot;">
                  <c:v>44596</c:v>
                </c:pt>
                <c:pt idx="2" c:formatCode="yyyy&quot;年&quot;m&quot;月&quot;">
                  <c:v>44623</c:v>
                </c:pt>
                <c:pt idx="3" c:formatCode="yyyy&quot;年&quot;m&quot;月&quot;">
                  <c:v>44654</c:v>
                </c:pt>
                <c:pt idx="4" c:formatCode="yyyy&quot;年&quot;m&quot;月&quot;">
                  <c:v>44685</c:v>
                </c:pt>
                <c:pt idx="5" c:formatCode="yyyy&quot;年&quot;m&quot;月&quot;">
                  <c:v>44715</c:v>
                </c:pt>
              </c:numCache>
            </c:numRef>
          </c:cat>
          <c:val>
            <c:numRef>
              <c:f>'2021-2022图表 '!$H$126:$M$126</c:f>
              <c:numCache>
                <c:formatCode>0.0_ </c:formatCode>
                <c:ptCount val="6"/>
                <c:pt idx="0">
                  <c:v>51.7</c:v>
                </c:pt>
                <c:pt idx="1">
                  <c:v>51.5</c:v>
                </c:pt>
                <c:pt idx="2">
                  <c:v>51.5</c:v>
                </c:pt>
                <c:pt idx="3">
                  <c:v>49.8</c:v>
                </c:pt>
                <c:pt idx="4">
                  <c:v>51.6</c:v>
                </c:pt>
                <c:pt idx="5">
                  <c:v>52.8409090909091</c:v>
                </c:pt>
              </c:numCache>
            </c:numRef>
          </c:val>
          <c:smooth val="false"/>
        </c:ser>
        <c:dLbls>
          <c:showLegendKey val="false"/>
          <c:showVal val="true"/>
          <c:showCatName val="false"/>
          <c:showSerName val="false"/>
          <c:showPercent val="false"/>
          <c:showBubbleSize val="false"/>
        </c:dLbls>
        <c:marker val="true"/>
        <c:smooth val="false"/>
        <c:axId val="140036736"/>
        <c:axId val="143757696"/>
      </c:lineChart>
      <c:dateAx>
        <c:axId val="140036736"/>
        <c:scaling>
          <c:orientation val="minMax"/>
        </c:scaling>
        <c:delete val="false"/>
        <c:axPos val="b"/>
        <c:numFmt formatCode="yyyy&quot;年&quot;mm&quot;月&quot;" sourceLinked="false"/>
        <c:majorTickMark val="out"/>
        <c:minorTickMark val="none"/>
        <c:tickLblPos val="nextTo"/>
        <c:txPr>
          <a:bodyPr rot="-60000000" spcFirstLastPara="0" vertOverflow="ellipsis" vert="horz" wrap="square" anchor="ctr" anchorCtr="true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143757696"/>
        <c:crosses val="autoZero"/>
        <c:auto val="true"/>
        <c:lblOffset val="100"/>
        <c:baseTimeUnit val="months"/>
      </c:dateAx>
      <c:valAx>
        <c:axId val="143757696"/>
        <c:scaling>
          <c:orientation val="minMax"/>
        </c:scaling>
        <c:delete val="false"/>
        <c:axPos val="l"/>
        <c:majorGridlines/>
        <c:numFmt formatCode="0.0_ " sourceLinked="true"/>
        <c:majorTickMark val="out"/>
        <c:minorTickMark val="none"/>
        <c:tickLblPos val="nextTo"/>
        <c:txPr>
          <a:bodyPr rot="-60000000" spcFirstLastPara="0" vertOverflow="ellipsis" vert="horz" wrap="square" anchor="ctr" anchorCtr="true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140036736"/>
        <c:crosses val="autoZero"/>
        <c:crossBetween val="between"/>
      </c:valAx>
    </c:plotArea>
    <c:plotVisOnly val="true"/>
    <c:dispBlanksAs val="gap"/>
    <c:showDLblsOverMax val="false"/>
  </c:chart>
  <c:txPr>
    <a:bodyPr/>
    <a:lstStyle/>
    <a:p>
      <a:pPr>
        <a:defRPr lang="zh-CN"/>
      </a:pPr>
    </a:p>
  </c:txPr>
  <c:externalData r:id="rId1">
    <c:autoUpdate val="false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false"/>
  <c:lang val="zh-CN"/>
  <c:roundedCorners val="false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false"/>
      <c:txPr>
        <a:bodyPr rot="0" spcFirstLastPara="0" vertOverflow="ellipsis" vert="horz" wrap="square" anchor="ctr" anchorCtr="true"/>
        <a:lstStyle/>
        <a:p>
          <a:pPr>
            <a:defRPr lang="zh-CN" sz="1200" b="1" i="0" u="none" strike="noStrike" kern="1200" baseline="0">
              <a:solidFill>
                <a:sysClr val="windowText" lastClr="000000"/>
              </a:solidFill>
              <a:latin typeface="+mn-ea"/>
              <a:ea typeface="+mn-ea"/>
              <a:cs typeface="+mn-cs"/>
            </a:defRPr>
          </a:pPr>
        </a:p>
      </c:txPr>
    </c:title>
    <c:autoTitleDeleted val="false"/>
    <c:plotArea>
      <c:layout>
        <c:manualLayout>
          <c:layoutTarget val="inner"/>
          <c:xMode val="edge"/>
          <c:yMode val="edge"/>
          <c:x val="0.119385583957562"/>
          <c:y val="0.193622406276712"/>
          <c:w val="0.845979831468436"/>
          <c:h val="0.621153318178324"/>
        </c:manualLayout>
      </c:layout>
      <c:lineChart>
        <c:grouping val="standard"/>
        <c:varyColors val="false"/>
        <c:ser>
          <c:idx val="0"/>
          <c:order val="0"/>
          <c:tx>
            <c:strRef>
              <c:f>'2021-2022图表 '!$A$128</c:f>
              <c:strCache>
                <c:ptCount val="1"/>
                <c:pt idx="0">
                  <c:v>从业人员指数（%）</c:v>
                </c:pt>
              </c:strCache>
            </c:strRef>
          </c:tx>
          <c:dLbls>
            <c:spPr>
              <a:noFill/>
              <a:ln w="25400"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true"/>
              <a:lstStyle/>
              <a:p>
                <a:pPr>
                  <a:defRPr lang="zh-CN"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r"/>
            <c:showLegendKey val="false"/>
            <c:showVal val="true"/>
            <c:showCatName val="false"/>
            <c:showSerName val="false"/>
            <c:showPercent val="false"/>
            <c:showBubbleSize val="false"/>
            <c:showLeaderLines val="false"/>
            <c:extLst>
              <c:ext xmlns:c15="http://schemas.microsoft.com/office/drawing/2012/chart" uri="{CE6537A1-D6FC-4f65-9D91-7224C49458BB}">
                <c15:layout/>
                <c15:showLeaderLines val="false"/>
                <c15:leaderLines/>
              </c:ext>
            </c:extLst>
          </c:dLbls>
          <c:cat>
            <c:numRef>
              <c:f>'2021-2022图表 '!$H$127:$M$127</c:f>
              <c:numCache>
                <c:formatCode>yyyy"年"m"月"</c:formatCode>
                <c:ptCount val="6"/>
                <c:pt idx="0" c:formatCode="yyyy&quot;年&quot;m&quot;月&quot;">
                  <c:v>44564</c:v>
                </c:pt>
                <c:pt idx="1" c:formatCode="yyyy&quot;年&quot;m&quot;月&quot;">
                  <c:v>44596</c:v>
                </c:pt>
                <c:pt idx="2" c:formatCode="yyyy&quot;年&quot;m&quot;月&quot;">
                  <c:v>44623</c:v>
                </c:pt>
                <c:pt idx="3" c:formatCode="yyyy&quot;年&quot;m&quot;月&quot;">
                  <c:v>44654</c:v>
                </c:pt>
                <c:pt idx="4" c:formatCode="yyyy&quot;年&quot;m&quot;月&quot;">
                  <c:v>44685</c:v>
                </c:pt>
                <c:pt idx="5" c:formatCode="yyyy&quot;年&quot;m&quot;月&quot;">
                  <c:v>44715</c:v>
                </c:pt>
              </c:numCache>
            </c:numRef>
          </c:cat>
          <c:val>
            <c:numRef>
              <c:f>'2021-2022图表 '!$H$128:$M$128</c:f>
              <c:numCache>
                <c:formatCode>0.0_ </c:formatCode>
                <c:ptCount val="6"/>
                <c:pt idx="0">
                  <c:v>55.5</c:v>
                </c:pt>
                <c:pt idx="1">
                  <c:v>55.1</c:v>
                </c:pt>
                <c:pt idx="2">
                  <c:v>55.2</c:v>
                </c:pt>
                <c:pt idx="3">
                  <c:v>55.3</c:v>
                </c:pt>
                <c:pt idx="4">
                  <c:v>55</c:v>
                </c:pt>
                <c:pt idx="5">
                  <c:v>56.2556255625562</c:v>
                </c:pt>
              </c:numCache>
            </c:numRef>
          </c:val>
          <c:smooth val="false"/>
        </c:ser>
        <c:dLbls>
          <c:showLegendKey val="false"/>
          <c:showVal val="true"/>
          <c:showCatName val="false"/>
          <c:showSerName val="false"/>
          <c:showPercent val="false"/>
          <c:showBubbleSize val="false"/>
        </c:dLbls>
        <c:marker val="true"/>
        <c:smooth val="false"/>
        <c:axId val="143892864"/>
        <c:axId val="143894400"/>
      </c:lineChart>
      <c:catAx>
        <c:axId val="143892864"/>
        <c:scaling>
          <c:orientation val="minMax"/>
        </c:scaling>
        <c:delete val="false"/>
        <c:axPos val="b"/>
        <c:numFmt formatCode="yyyy&quot;年&quot;mm&quot;月&quot;" sourceLinked="false"/>
        <c:majorTickMark val="out"/>
        <c:minorTickMark val="none"/>
        <c:tickLblPos val="nextTo"/>
        <c:txPr>
          <a:bodyPr rot="-60000000" spcFirstLastPara="0" vertOverflow="ellipsis" vert="horz" wrap="square" anchor="ctr" anchorCtr="true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143894400"/>
        <c:crosses val="autoZero"/>
        <c:auto val="false"/>
        <c:lblAlgn val="ctr"/>
        <c:lblOffset val="100"/>
        <c:noMultiLvlLbl val="false"/>
      </c:catAx>
      <c:valAx>
        <c:axId val="143894400"/>
        <c:scaling>
          <c:orientation val="minMax"/>
        </c:scaling>
        <c:delete val="false"/>
        <c:axPos val="l"/>
        <c:majorGridlines/>
        <c:numFmt formatCode="0.0_ " sourceLinked="true"/>
        <c:majorTickMark val="out"/>
        <c:minorTickMark val="none"/>
        <c:tickLblPos val="nextTo"/>
        <c:txPr>
          <a:bodyPr rot="-60000000" spcFirstLastPara="0" vertOverflow="ellipsis" vert="horz" wrap="square" anchor="ctr" anchorCtr="true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143892864"/>
        <c:crosses val="autoZero"/>
        <c:crossBetween val="between"/>
      </c:valAx>
    </c:plotArea>
    <c:plotVisOnly val="true"/>
    <c:dispBlanksAs val="gap"/>
    <c:showDLblsOverMax val="false"/>
  </c:chart>
  <c:txPr>
    <a:bodyPr/>
    <a:lstStyle/>
    <a:p>
      <a:pPr>
        <a:defRPr lang="zh-CN"/>
      </a:pPr>
    </a:p>
  </c:txPr>
  <c:externalData r:id="rId1">
    <c:autoUpdate val="false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false"/>
  <c:lang val="zh-CN"/>
  <c:roundedCorners val="false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true"/>
    <c:plotArea>
      <c:layout>
        <c:manualLayout>
          <c:layoutTarget val="inner"/>
          <c:xMode val="edge"/>
          <c:yMode val="edge"/>
          <c:x val="0.0828365005611048"/>
          <c:y val="0.0673855985393131"/>
          <c:w val="0.849455496508167"/>
          <c:h val="0.59205935796487"/>
        </c:manualLayout>
      </c:layout>
      <c:lineChart>
        <c:grouping val="standard"/>
        <c:varyColors val="false"/>
        <c:ser>
          <c:idx val="1"/>
          <c:order val="0"/>
          <c:tx>
            <c:strRef>
              <c:f>'2021-2022图表 '!$A$135</c:f>
              <c:strCache>
                <c:ptCount val="1"/>
                <c:pt idx="0">
                  <c:v>主营业务成本指数（%）</c:v>
                </c:pt>
              </c:strCache>
            </c:strRef>
          </c:tx>
          <c:dLbls>
            <c:spPr>
              <a:noFill/>
              <a:ln w="25400"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true"/>
              <a:lstStyle/>
              <a:p>
                <a:pPr>
                  <a:defRPr lang="zh-CN"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r"/>
            <c:showLegendKey val="false"/>
            <c:showVal val="true"/>
            <c:showCatName val="false"/>
            <c:showSerName val="false"/>
            <c:showPercent val="false"/>
            <c:showBubbleSize val="false"/>
            <c:showLeaderLines val="false"/>
            <c:extLst>
              <c:ext xmlns:c15="http://schemas.microsoft.com/office/drawing/2012/chart" uri="{CE6537A1-D6FC-4f65-9D91-7224C49458BB}">
                <c15:layout/>
                <c15:showLeaderLines val="false"/>
                <c15:leaderLines/>
              </c:ext>
            </c:extLst>
          </c:dLbls>
          <c:cat>
            <c:numRef>
              <c:f>'2021-2022图表 '!$H$134:$M$134</c:f>
              <c:numCache>
                <c:formatCode>yyyy"年"m"月"</c:formatCode>
                <c:ptCount val="6"/>
                <c:pt idx="0" c:formatCode="yyyy&quot;年&quot;m&quot;月&quot;">
                  <c:v>44564</c:v>
                </c:pt>
                <c:pt idx="1" c:formatCode="yyyy&quot;年&quot;m&quot;月&quot;">
                  <c:v>44596</c:v>
                </c:pt>
                <c:pt idx="2" c:formatCode="yyyy&quot;年&quot;m&quot;月&quot;">
                  <c:v>44623</c:v>
                </c:pt>
                <c:pt idx="3" c:formatCode="yyyy&quot;年&quot;m&quot;月&quot;">
                  <c:v>44654</c:v>
                </c:pt>
                <c:pt idx="4" c:formatCode="yyyy&quot;年&quot;m&quot;月&quot;">
                  <c:v>44685</c:v>
                </c:pt>
                <c:pt idx="5" c:formatCode="yyyy&quot;年&quot;m&quot;月&quot;">
                  <c:v>44715</c:v>
                </c:pt>
              </c:numCache>
            </c:numRef>
          </c:cat>
          <c:val>
            <c:numRef>
              <c:f>'2021-2022图表 '!$H$135:$M$135</c:f>
              <c:numCache>
                <c:formatCode>0.0_ </c:formatCode>
                <c:ptCount val="6"/>
                <c:pt idx="0">
                  <c:v>60.5</c:v>
                </c:pt>
                <c:pt idx="1">
                  <c:v>55</c:v>
                </c:pt>
                <c:pt idx="2">
                  <c:v>59.5</c:v>
                </c:pt>
                <c:pt idx="3">
                  <c:v>58.3</c:v>
                </c:pt>
                <c:pt idx="4">
                  <c:v>58.7</c:v>
                </c:pt>
                <c:pt idx="5">
                  <c:v>58.3677685950413</c:v>
                </c:pt>
              </c:numCache>
            </c:numRef>
          </c:val>
          <c:smooth val="false"/>
        </c:ser>
        <c:ser>
          <c:idx val="0"/>
          <c:order val="1"/>
          <c:tx>
            <c:strRef>
              <c:f>'2021-2022图表 '!$A$136</c:f>
              <c:strCache>
                <c:ptCount val="1"/>
                <c:pt idx="0">
                  <c:v>主营业务利润指数（%）</c:v>
                </c:pt>
              </c:strCache>
            </c:strRef>
          </c:tx>
          <c:dLbls>
            <c:spPr>
              <a:noFill/>
              <a:ln w="25400"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true"/>
              <a:lstStyle/>
              <a:p>
                <a:pPr>
                  <a:defRPr lang="zh-CN"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r"/>
            <c:showLegendKey val="false"/>
            <c:showVal val="true"/>
            <c:showCatName val="false"/>
            <c:showSerName val="false"/>
            <c:showPercent val="false"/>
            <c:showBubbleSize val="false"/>
            <c:showLeaderLines val="false"/>
            <c:extLst>
              <c:ext xmlns:c15="http://schemas.microsoft.com/office/drawing/2012/chart" uri="{CE6537A1-D6FC-4f65-9D91-7224C49458BB}">
                <c15:layout/>
                <c15:showLeaderLines val="false"/>
                <c15:leaderLines/>
              </c:ext>
            </c:extLst>
          </c:dLbls>
          <c:cat>
            <c:numRef>
              <c:f>'2021-2022图表 '!$H$134:$M$134</c:f>
              <c:numCache>
                <c:formatCode>yyyy"年"m"月"</c:formatCode>
                <c:ptCount val="6"/>
                <c:pt idx="0" c:formatCode="yyyy&quot;年&quot;m&quot;月&quot;">
                  <c:v>44564</c:v>
                </c:pt>
                <c:pt idx="1" c:formatCode="yyyy&quot;年&quot;m&quot;月&quot;">
                  <c:v>44596</c:v>
                </c:pt>
                <c:pt idx="2" c:formatCode="yyyy&quot;年&quot;m&quot;月&quot;">
                  <c:v>44623</c:v>
                </c:pt>
                <c:pt idx="3" c:formatCode="yyyy&quot;年&quot;m&quot;月&quot;">
                  <c:v>44654</c:v>
                </c:pt>
                <c:pt idx="4" c:formatCode="yyyy&quot;年&quot;m&quot;月&quot;">
                  <c:v>44685</c:v>
                </c:pt>
                <c:pt idx="5" c:formatCode="yyyy&quot;年&quot;m&quot;月&quot;">
                  <c:v>44715</c:v>
                </c:pt>
              </c:numCache>
            </c:numRef>
          </c:cat>
          <c:val>
            <c:numRef>
              <c:f>'2021-2022图表 '!$H$136:$M$136</c:f>
              <c:numCache>
                <c:formatCode>0.0_ </c:formatCode>
                <c:ptCount val="6"/>
                <c:pt idx="0">
                  <c:v>46.5</c:v>
                </c:pt>
                <c:pt idx="1">
                  <c:v>46.1</c:v>
                </c:pt>
                <c:pt idx="2">
                  <c:v>48.7</c:v>
                </c:pt>
                <c:pt idx="3">
                  <c:v>41.7</c:v>
                </c:pt>
                <c:pt idx="4">
                  <c:v>53.1</c:v>
                </c:pt>
                <c:pt idx="5">
                  <c:v>45.9710743801653</c:v>
                </c:pt>
              </c:numCache>
            </c:numRef>
          </c:val>
          <c:smooth val="false"/>
        </c:ser>
        <c:dLbls>
          <c:showLegendKey val="false"/>
          <c:showVal val="true"/>
          <c:showCatName val="false"/>
          <c:showSerName val="false"/>
          <c:showPercent val="false"/>
          <c:showBubbleSize val="false"/>
        </c:dLbls>
        <c:marker val="true"/>
        <c:smooth val="false"/>
        <c:axId val="143922688"/>
        <c:axId val="143924224"/>
      </c:lineChart>
      <c:dateAx>
        <c:axId val="143922688"/>
        <c:scaling>
          <c:orientation val="minMax"/>
        </c:scaling>
        <c:delete val="false"/>
        <c:axPos val="b"/>
        <c:numFmt formatCode="yyyy&quot;年&quot;mm&quot;月&quot;" sourceLinked="false"/>
        <c:majorTickMark val="out"/>
        <c:minorTickMark val="none"/>
        <c:tickLblPos val="nextTo"/>
        <c:txPr>
          <a:bodyPr rot="-60000000" spcFirstLastPara="0" vertOverflow="ellipsis" vert="horz" wrap="square" anchor="ctr" anchorCtr="true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143924224"/>
        <c:crosses val="autoZero"/>
        <c:auto val="true"/>
        <c:lblOffset val="100"/>
        <c:baseTimeUnit val="months"/>
      </c:dateAx>
      <c:valAx>
        <c:axId val="143924224"/>
        <c:scaling>
          <c:orientation val="minMax"/>
        </c:scaling>
        <c:delete val="false"/>
        <c:axPos val="l"/>
        <c:majorGridlines/>
        <c:numFmt formatCode="0.0_ " sourceLinked="true"/>
        <c:majorTickMark val="out"/>
        <c:minorTickMark val="none"/>
        <c:tickLblPos val="nextTo"/>
        <c:txPr>
          <a:bodyPr rot="-60000000" spcFirstLastPara="0" vertOverflow="ellipsis" vert="horz" wrap="square" anchor="ctr" anchorCtr="true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14392268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151231072669257"/>
          <c:y val="0.90975613233531"/>
          <c:w val="0.689332139461465"/>
          <c:h val="0.0682927967337418"/>
        </c:manualLayout>
      </c:layout>
      <c:overlay val="false"/>
      <c:txPr>
        <a:bodyPr rot="0" spcFirstLastPara="0" vertOverflow="ellipsis" vert="horz" wrap="square" anchor="ctr" anchorCtr="true"/>
        <a:lstStyle/>
        <a:p>
          <a:pPr>
            <a:defRPr lang="zh-CN" sz="10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</a:p>
      </c:txPr>
    </c:legend>
    <c:plotVisOnly val="true"/>
    <c:dispBlanksAs val="gap"/>
    <c:showDLblsOverMax val="false"/>
  </c:chart>
  <c:txPr>
    <a:bodyPr/>
    <a:lstStyle/>
    <a:p>
      <a:pPr>
        <a:defRPr lang="zh-CN"/>
      </a:pPr>
    </a:p>
  </c:txPr>
  <c:externalData r:id="rId1">
    <c:autoUpdate val="false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false"/>
  <c:lang val="zh-CN"/>
  <c:roundedCorners val="false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false"/>
      <c:txPr>
        <a:bodyPr rot="0" spcFirstLastPara="0" vertOverflow="ellipsis" vert="horz" wrap="square" anchor="ctr" anchorCtr="true"/>
        <a:lstStyle/>
        <a:p>
          <a:pPr>
            <a:defRPr lang="zh-CN" sz="1200" b="1" i="0" u="none" strike="noStrike" kern="1200" baseline="0">
              <a:solidFill>
                <a:sysClr val="windowText" lastClr="000000"/>
              </a:solidFill>
              <a:latin typeface="+mn-ea"/>
              <a:ea typeface="+mn-ea"/>
              <a:cs typeface="+mn-cs"/>
            </a:defRPr>
          </a:pPr>
        </a:p>
      </c:txPr>
    </c:title>
    <c:autoTitleDeleted val="false"/>
    <c:plotArea>
      <c:layout>
        <c:manualLayout>
          <c:layoutTarget val="inner"/>
          <c:xMode val="edge"/>
          <c:yMode val="edge"/>
          <c:x val="0.129650614384381"/>
          <c:y val="0.128898259747616"/>
          <c:w val="0.82856695946958"/>
          <c:h val="0.700939301052597"/>
        </c:manualLayout>
      </c:layout>
      <c:lineChart>
        <c:grouping val="standard"/>
        <c:varyColors val="false"/>
        <c:ser>
          <c:idx val="0"/>
          <c:order val="0"/>
          <c:tx>
            <c:strRef>
              <c:f>'2021-2022图表 '!$A$130</c:f>
              <c:strCache>
                <c:ptCount val="1"/>
                <c:pt idx="0">
                  <c:v>资金周转率指数（%）</c:v>
                </c:pt>
              </c:strCache>
            </c:strRef>
          </c:tx>
          <c:dLbls>
            <c:spPr>
              <a:noFill/>
              <a:ln w="25400"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true"/>
              <a:lstStyle/>
              <a:p>
                <a:pPr>
                  <a:defRPr lang="zh-CN"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r"/>
            <c:showLegendKey val="false"/>
            <c:showVal val="true"/>
            <c:showCatName val="false"/>
            <c:showSerName val="false"/>
            <c:showPercent val="false"/>
            <c:showBubbleSize val="false"/>
            <c:showLeaderLines val="false"/>
            <c:extLst>
              <c:ext xmlns:c15="http://schemas.microsoft.com/office/drawing/2012/chart" uri="{CE6537A1-D6FC-4f65-9D91-7224C49458BB}">
                <c15:layout/>
                <c15:showLeaderLines val="false"/>
                <c15:leaderLines/>
              </c:ext>
            </c:extLst>
          </c:dLbls>
          <c:cat>
            <c:numRef>
              <c:f>'2021-2022图表 '!$H$129:$M$129</c:f>
              <c:numCache>
                <c:formatCode>yyyy"年"m"月"</c:formatCode>
                <c:ptCount val="6"/>
                <c:pt idx="0" c:formatCode="yyyy&quot;年&quot;m&quot;月&quot;">
                  <c:v>44564</c:v>
                </c:pt>
                <c:pt idx="1" c:formatCode="yyyy&quot;年&quot;m&quot;月&quot;">
                  <c:v>44596</c:v>
                </c:pt>
                <c:pt idx="2" c:formatCode="yyyy&quot;年&quot;m&quot;月&quot;">
                  <c:v>44623</c:v>
                </c:pt>
                <c:pt idx="3" c:formatCode="yyyy&quot;年&quot;m&quot;月&quot;">
                  <c:v>44654</c:v>
                </c:pt>
                <c:pt idx="4" c:formatCode="yyyy&quot;年&quot;m&quot;月&quot;">
                  <c:v>44685</c:v>
                </c:pt>
                <c:pt idx="5" c:formatCode="yyyy&quot;年&quot;m&quot;月&quot;">
                  <c:v>44715</c:v>
                </c:pt>
              </c:numCache>
            </c:numRef>
          </c:cat>
          <c:val>
            <c:numRef>
              <c:f>'2021-2022图表 '!$H$130:$M$130</c:f>
              <c:numCache>
                <c:formatCode>0.0_ </c:formatCode>
                <c:ptCount val="6"/>
                <c:pt idx="0">
                  <c:v>56.1</c:v>
                </c:pt>
                <c:pt idx="1">
                  <c:v>55.8</c:v>
                </c:pt>
                <c:pt idx="2">
                  <c:v>56</c:v>
                </c:pt>
                <c:pt idx="3">
                  <c:v>55</c:v>
                </c:pt>
                <c:pt idx="4">
                  <c:v>55.1</c:v>
                </c:pt>
                <c:pt idx="5">
                  <c:v>53.3395176252319</c:v>
                </c:pt>
              </c:numCache>
            </c:numRef>
          </c:val>
          <c:smooth val="false"/>
        </c:ser>
        <c:dLbls>
          <c:showLegendKey val="false"/>
          <c:showVal val="true"/>
          <c:showCatName val="false"/>
          <c:showSerName val="false"/>
          <c:showPercent val="false"/>
          <c:showBubbleSize val="false"/>
        </c:dLbls>
        <c:marker val="true"/>
        <c:smooth val="false"/>
        <c:axId val="143962112"/>
        <c:axId val="143963648"/>
      </c:lineChart>
      <c:catAx>
        <c:axId val="143962112"/>
        <c:scaling>
          <c:orientation val="minMax"/>
        </c:scaling>
        <c:delete val="false"/>
        <c:axPos val="b"/>
        <c:numFmt formatCode="yyyy&quot;年&quot;mm&quot;月&quot;" sourceLinked="false"/>
        <c:majorTickMark val="out"/>
        <c:minorTickMark val="none"/>
        <c:tickLblPos val="nextTo"/>
        <c:txPr>
          <a:bodyPr rot="-60000000" spcFirstLastPara="0" vertOverflow="ellipsis" vert="horz" wrap="square" anchor="ctr" anchorCtr="true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143963648"/>
        <c:crosses val="autoZero"/>
        <c:auto val="false"/>
        <c:lblAlgn val="ctr"/>
        <c:lblOffset val="100"/>
        <c:noMultiLvlLbl val="false"/>
      </c:catAx>
      <c:valAx>
        <c:axId val="143963648"/>
        <c:scaling>
          <c:orientation val="minMax"/>
        </c:scaling>
        <c:delete val="false"/>
        <c:axPos val="l"/>
        <c:majorGridlines/>
        <c:numFmt formatCode="0.0_ " sourceLinked="true"/>
        <c:majorTickMark val="out"/>
        <c:minorTickMark val="none"/>
        <c:tickLblPos val="nextTo"/>
        <c:txPr>
          <a:bodyPr rot="-60000000" spcFirstLastPara="0" vertOverflow="ellipsis" vert="horz" wrap="square" anchor="ctr" anchorCtr="true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143962112"/>
        <c:crosses val="autoZero"/>
        <c:crossBetween val="between"/>
      </c:valAx>
    </c:plotArea>
    <c:plotVisOnly val="true"/>
    <c:dispBlanksAs val="gap"/>
    <c:showDLblsOverMax val="false"/>
  </c:chart>
  <c:txPr>
    <a:bodyPr/>
    <a:lstStyle/>
    <a:p>
      <a:pPr>
        <a:defRPr lang="zh-CN"/>
      </a:pPr>
    </a:p>
  </c:txPr>
  <c:externalData r:id="rId1">
    <c:autoUpdate val="false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false"/>
  <c:lang val="zh-CN"/>
  <c:roundedCorners val="false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true"/>
    <c:plotArea>
      <c:layout>
        <c:manualLayout>
          <c:layoutTarget val="inner"/>
          <c:xMode val="edge"/>
          <c:yMode val="edge"/>
          <c:x val="0.1100198888575"/>
          <c:y val="0.0839346849379722"/>
          <c:w val="0.805502237979203"/>
          <c:h val="0.58421915242332"/>
        </c:manualLayout>
      </c:layout>
      <c:lineChart>
        <c:grouping val="standard"/>
        <c:varyColors val="false"/>
        <c:ser>
          <c:idx val="0"/>
          <c:order val="0"/>
          <c:tx>
            <c:strRef>
              <c:f>'2021-2022图表 '!$A$132</c:f>
              <c:strCache>
                <c:ptCount val="1"/>
                <c:pt idx="0">
                  <c:v>业务活动预期指数（%）</c:v>
                </c:pt>
              </c:strCache>
            </c:strRef>
          </c:tx>
          <c:dLbls>
            <c:spPr>
              <a:noFill/>
              <a:ln w="25400"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true"/>
              <a:lstStyle/>
              <a:p>
                <a:pPr>
                  <a:defRPr lang="zh-CN"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r"/>
            <c:showLegendKey val="false"/>
            <c:showVal val="true"/>
            <c:showCatName val="false"/>
            <c:showSerName val="false"/>
            <c:showPercent val="false"/>
            <c:showBubbleSize val="false"/>
            <c:showLeaderLines val="false"/>
            <c:extLst>
              <c:ext xmlns:c15="http://schemas.microsoft.com/office/drawing/2012/chart" uri="{CE6537A1-D6FC-4f65-9D91-7224C49458BB}">
                <c15:layout/>
                <c15:showLeaderLines val="false"/>
                <c15:leaderLines/>
              </c:ext>
            </c:extLst>
          </c:dLbls>
          <c:cat>
            <c:numRef>
              <c:f>'2021-2022图表 '!$H$131:$M$131</c:f>
              <c:numCache>
                <c:formatCode>yyyy"年"m"月"</c:formatCode>
                <c:ptCount val="6"/>
                <c:pt idx="0" c:formatCode="yyyy&quot;年&quot;m&quot;月&quot;">
                  <c:v>44564</c:v>
                </c:pt>
                <c:pt idx="1" c:formatCode="yyyy&quot;年&quot;m&quot;月&quot;">
                  <c:v>44596</c:v>
                </c:pt>
                <c:pt idx="2" c:formatCode="yyyy&quot;年&quot;m&quot;月&quot;">
                  <c:v>44623</c:v>
                </c:pt>
                <c:pt idx="3" c:formatCode="yyyy&quot;年&quot;m&quot;月&quot;">
                  <c:v>44654</c:v>
                </c:pt>
                <c:pt idx="4" c:formatCode="yyyy&quot;年&quot;m&quot;月&quot;">
                  <c:v>44685</c:v>
                </c:pt>
                <c:pt idx="5" c:formatCode="yyyy&quot;年&quot;m&quot;月&quot;">
                  <c:v>44715</c:v>
                </c:pt>
              </c:numCache>
            </c:numRef>
          </c:cat>
          <c:val>
            <c:numRef>
              <c:f>'2021-2022图表 '!$H$132:$M$132</c:f>
              <c:numCache>
                <c:formatCode>0.0_ </c:formatCode>
                <c:ptCount val="6"/>
                <c:pt idx="0">
                  <c:v>57.2</c:v>
                </c:pt>
                <c:pt idx="1">
                  <c:v>57.1</c:v>
                </c:pt>
                <c:pt idx="2">
                  <c:v>57.4</c:v>
                </c:pt>
                <c:pt idx="3">
                  <c:v>55.9</c:v>
                </c:pt>
                <c:pt idx="4">
                  <c:v>55.6</c:v>
                </c:pt>
                <c:pt idx="5">
                  <c:v>53.4090909090909</c:v>
                </c:pt>
              </c:numCache>
            </c:numRef>
          </c:val>
          <c:smooth val="false"/>
        </c:ser>
        <c:ser>
          <c:idx val="1"/>
          <c:order val="1"/>
          <c:tx>
            <c:strRef>
              <c:f>'2021-2022图表 '!$A$133</c:f>
              <c:strCache>
                <c:ptCount val="1"/>
                <c:pt idx="0">
                  <c:v>新订单（客户需求）指数（%）</c:v>
                </c:pt>
              </c:strCache>
            </c:strRef>
          </c:tx>
          <c:dLbls>
            <c:spPr>
              <a:noFill/>
              <a:ln w="25400"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true"/>
              <a:lstStyle/>
              <a:p>
                <a:pPr>
                  <a:defRPr lang="zh-CN"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r"/>
            <c:showLegendKey val="false"/>
            <c:showVal val="true"/>
            <c:showCatName val="false"/>
            <c:showSerName val="false"/>
            <c:showPercent val="false"/>
            <c:showBubbleSize val="false"/>
            <c:showLeaderLines val="false"/>
            <c:extLst>
              <c:ext xmlns:c15="http://schemas.microsoft.com/office/drawing/2012/chart" uri="{CE6537A1-D6FC-4f65-9D91-7224C49458BB}">
                <c15:layout/>
                <c15:showLeaderLines val="false"/>
                <c15:leaderLines/>
              </c:ext>
            </c:extLst>
          </c:dLbls>
          <c:cat>
            <c:numRef>
              <c:f>'2021-2022图表 '!$H$131:$M$131</c:f>
              <c:numCache>
                <c:formatCode>yyyy"年"m"月"</c:formatCode>
                <c:ptCount val="6"/>
                <c:pt idx="0" c:formatCode="yyyy&quot;年&quot;m&quot;月&quot;">
                  <c:v>44564</c:v>
                </c:pt>
                <c:pt idx="1" c:formatCode="yyyy&quot;年&quot;m&quot;月&quot;">
                  <c:v>44596</c:v>
                </c:pt>
                <c:pt idx="2" c:formatCode="yyyy&quot;年&quot;m&quot;月&quot;">
                  <c:v>44623</c:v>
                </c:pt>
                <c:pt idx="3" c:formatCode="yyyy&quot;年&quot;m&quot;月&quot;">
                  <c:v>44654</c:v>
                </c:pt>
                <c:pt idx="4" c:formatCode="yyyy&quot;年&quot;m&quot;月&quot;">
                  <c:v>44685</c:v>
                </c:pt>
                <c:pt idx="5" c:formatCode="yyyy&quot;年&quot;m&quot;月&quot;">
                  <c:v>44715</c:v>
                </c:pt>
              </c:numCache>
            </c:numRef>
          </c:cat>
          <c:val>
            <c:numRef>
              <c:f>'2021-2022图表 '!$H$133:$M$133</c:f>
              <c:numCache>
                <c:formatCode>0.0_ </c:formatCode>
                <c:ptCount val="6"/>
                <c:pt idx="0">
                  <c:v>53.3</c:v>
                </c:pt>
                <c:pt idx="1">
                  <c:v>53.1</c:v>
                </c:pt>
                <c:pt idx="2">
                  <c:v>53.4</c:v>
                </c:pt>
                <c:pt idx="3">
                  <c:v>51.5</c:v>
                </c:pt>
                <c:pt idx="4">
                  <c:v>52.8</c:v>
                </c:pt>
                <c:pt idx="5">
                  <c:v>52.8007346189164</c:v>
                </c:pt>
              </c:numCache>
            </c:numRef>
          </c:val>
          <c:smooth val="false"/>
        </c:ser>
        <c:dLbls>
          <c:showLegendKey val="false"/>
          <c:showVal val="true"/>
          <c:showCatName val="false"/>
          <c:showSerName val="false"/>
          <c:showPercent val="false"/>
          <c:showBubbleSize val="false"/>
        </c:dLbls>
        <c:marker val="true"/>
        <c:smooth val="false"/>
        <c:axId val="144041088"/>
        <c:axId val="144042624"/>
      </c:lineChart>
      <c:dateAx>
        <c:axId val="144041088"/>
        <c:scaling>
          <c:orientation val="minMax"/>
        </c:scaling>
        <c:delete val="false"/>
        <c:axPos val="b"/>
        <c:numFmt formatCode="yyyy&quot;年&quot;mm&quot;月&quot;" sourceLinked="false"/>
        <c:majorTickMark val="out"/>
        <c:minorTickMark val="none"/>
        <c:tickLblPos val="nextTo"/>
        <c:txPr>
          <a:bodyPr rot="-60000000" spcFirstLastPara="0" vertOverflow="ellipsis" vert="horz" wrap="square" anchor="ctr" anchorCtr="true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144042624"/>
        <c:crosses val="autoZero"/>
        <c:auto val="true"/>
        <c:lblOffset val="100"/>
        <c:baseTimeUnit val="months"/>
      </c:dateAx>
      <c:valAx>
        <c:axId val="144042624"/>
        <c:scaling>
          <c:orientation val="minMax"/>
          <c:min val="50"/>
        </c:scaling>
        <c:delete val="false"/>
        <c:axPos val="l"/>
        <c:majorGridlines/>
        <c:numFmt formatCode="0.0_ " sourceLinked="true"/>
        <c:majorTickMark val="out"/>
        <c:minorTickMark val="none"/>
        <c:tickLblPos val="nextTo"/>
        <c:txPr>
          <a:bodyPr rot="-60000000" spcFirstLastPara="0" vertOverflow="ellipsis" vert="horz" wrap="square" anchor="ctr" anchorCtr="true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14404108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113812161754117"/>
          <c:y val="0.921445709844209"/>
          <c:w val="0.759115973335192"/>
          <c:h val="0.0594480303695944"/>
        </c:manualLayout>
      </c:layout>
      <c:overlay val="false"/>
      <c:txPr>
        <a:bodyPr rot="0" spcFirstLastPara="0" vertOverflow="ellipsis" vert="horz" wrap="square" anchor="ctr" anchorCtr="true"/>
        <a:lstStyle/>
        <a:p>
          <a:pPr>
            <a:defRPr lang="zh-CN" sz="10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</a:p>
      </c:txPr>
    </c:legend>
    <c:plotVisOnly val="true"/>
    <c:dispBlanksAs val="gap"/>
    <c:showDLblsOverMax val="false"/>
  </c:chart>
  <c:txPr>
    <a:bodyPr/>
    <a:lstStyle/>
    <a:p>
      <a:pPr>
        <a:defRPr lang="zh-CN"/>
      </a:pPr>
    </a:p>
  </c:txPr>
  <c:externalData r:id="rId1">
    <c:autoUpdate val="false"/>
  </c:externalData>
</c:chartSpac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8</Pages>
  <Words>1610</Words>
  <Characters>2001</Characters>
  <Lines>14</Lines>
  <Paragraphs>4</Paragraphs>
  <TotalTime>6</TotalTime>
  <ScaleCrop>false</ScaleCrop>
  <LinksUpToDate>false</LinksUpToDate>
  <CharactersWithSpaces>2024</CharactersWithSpaces>
  <Application>WPS Office_11.8.2.9583_F1E327BC-269C-435d-A152-05C5408002CA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2018-04-18T11:03:00Z</dcterms:created>
  <dc:creator>微软用户</dc:creator>
  <cp:lastModifiedBy>李思忆</cp:lastModifiedBy>
  <dcterms:modified xsi:type="dcterms:W3CDTF">2022-07-26T09:06:08Z</dcterms:modified>
  <cp:revision>175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2052-11.8.2.9583</vt:lpwstr>
  </property>
  <property fmtid="{D5CDD505-2E9C-101B-9397-08002B2CF9AE}" pid="3" name="ICV">
    <vt:lpwstr>8DC541247CCD420FB95D20BEC6E0A6D3</vt:lpwstr>
  </property>
</Properties>
</file>