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_GB2312"/>
          <w:color w:val="auto"/>
          <w:sz w:val="32"/>
          <w:szCs w:val="32"/>
        </w:rPr>
      </w:pPr>
      <w:bookmarkStart w:id="0" w:name="_GoBack"/>
      <w:bookmarkEnd w:id="0"/>
      <w:r>
        <w:rPr>
          <w:rFonts w:hint="eastAsia" w:ascii="仿宋" w:hAnsi="仿宋" w:eastAsia="仿宋" w:cs="仿宋_GB2312"/>
          <w:color w:val="auto"/>
          <w:sz w:val="32"/>
          <w:szCs w:val="32"/>
        </w:rPr>
        <w:t>附件</w:t>
      </w:r>
      <w:r>
        <w:rPr>
          <w:rFonts w:hint="eastAsia" w:ascii="仿宋" w:hAnsi="仿宋" w:eastAsia="仿宋" w:cs="仿宋_GB2312"/>
          <w:color w:val="auto"/>
          <w:sz w:val="32"/>
          <w:szCs w:val="32"/>
          <w:lang w:val="en-US" w:eastAsia="zh-CN"/>
        </w:rPr>
        <w:t>2</w:t>
      </w:r>
    </w:p>
    <w:p>
      <w:pPr>
        <w:spacing w:line="560" w:lineRule="exact"/>
        <w:ind w:firstLine="640" w:firstLineChars="200"/>
        <w:rPr>
          <w:rFonts w:ascii="仿宋" w:hAnsi="仿宋" w:eastAsia="仿宋" w:cs="宋体"/>
          <w:color w:val="auto"/>
          <w:sz w:val="32"/>
          <w:szCs w:val="32"/>
        </w:rPr>
      </w:pPr>
    </w:p>
    <w:p>
      <w:pPr>
        <w:spacing w:line="560" w:lineRule="exact"/>
        <w:ind w:firstLine="883" w:firstLineChars="200"/>
        <w:rPr>
          <w:rFonts w:ascii="仿宋" w:hAnsi="仿宋" w:eastAsia="仿宋" w:cs="宋体"/>
          <w:b/>
          <w:bCs/>
          <w:color w:val="auto"/>
          <w:sz w:val="44"/>
          <w:szCs w:val="44"/>
        </w:rPr>
      </w:pPr>
      <w:r>
        <w:rPr>
          <w:rFonts w:hint="eastAsia" w:ascii="仿宋" w:hAnsi="仿宋" w:eastAsia="仿宋" w:cs="宋体"/>
          <w:b/>
          <w:bCs/>
          <w:color w:val="auto"/>
          <w:sz w:val="44"/>
          <w:szCs w:val="44"/>
        </w:rPr>
        <w:t>202</w:t>
      </w:r>
      <w:r>
        <w:rPr>
          <w:rFonts w:ascii="仿宋" w:hAnsi="仿宋" w:eastAsia="仿宋" w:cs="宋体"/>
          <w:b/>
          <w:bCs/>
          <w:color w:val="auto"/>
          <w:sz w:val="44"/>
          <w:szCs w:val="44"/>
        </w:rPr>
        <w:t>3</w:t>
      </w:r>
      <w:r>
        <w:rPr>
          <w:rFonts w:hint="eastAsia" w:ascii="仿宋" w:hAnsi="仿宋" w:eastAsia="仿宋" w:cs="宋体"/>
          <w:b/>
          <w:bCs/>
          <w:color w:val="auto"/>
          <w:sz w:val="44"/>
          <w:szCs w:val="44"/>
        </w:rPr>
        <w:t>年创建美食街（城）项目指南</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 xml:space="preserve">   </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一、支持方向</w:t>
      </w:r>
    </w:p>
    <w:p>
      <w:pPr>
        <w:pStyle w:val="2"/>
        <w:shd w:val="clear" w:color="auto" w:fill="FFFFFF"/>
        <w:spacing w:before="0" w:beforeAutospacing="0" w:after="0" w:afterAutospacing="0" w:line="560" w:lineRule="exact"/>
        <w:ind w:firstLine="640" w:firstLineChars="200"/>
        <w:jc w:val="both"/>
        <w:rPr>
          <w:rFonts w:ascii="仿宋" w:hAnsi="仿宋" w:eastAsia="仿宋"/>
          <w:b w:val="0"/>
          <w:color w:val="auto"/>
          <w:sz w:val="32"/>
          <w:szCs w:val="32"/>
        </w:rPr>
      </w:pPr>
      <w:r>
        <w:rPr>
          <w:rFonts w:hint="eastAsia" w:ascii="仿宋_GB2312" w:hAnsi="仿宋_GB2312" w:eastAsia="仿宋_GB2312" w:cs="仿宋_GB2312"/>
          <w:b w:val="0"/>
          <w:bCs w:val="0"/>
          <w:i w:val="0"/>
          <w:iCs w:val="0"/>
          <w:color w:val="auto"/>
          <w:sz w:val="32"/>
          <w:szCs w:val="32"/>
          <w:highlight w:val="none"/>
        </w:rPr>
        <w:t>根据</w:t>
      </w:r>
      <w:r>
        <w:rPr>
          <w:rFonts w:hint="eastAsia" w:ascii="仿宋" w:hAnsi="仿宋" w:eastAsia="仿宋" w:cs="仿宋_GB2312"/>
          <w:b w:val="0"/>
          <w:bCs w:val="0"/>
          <w:i w:val="0"/>
          <w:iCs w:val="0"/>
          <w:color w:val="auto"/>
          <w:sz w:val="32"/>
          <w:szCs w:val="32"/>
          <w:highlight w:val="none"/>
        </w:rPr>
        <w:t>《</w:t>
      </w:r>
      <w:r>
        <w:rPr>
          <w:rFonts w:hint="eastAsia" w:ascii="仿宋" w:hAnsi="仿宋" w:eastAsia="仿宋"/>
          <w:b w:val="0"/>
          <w:bCs w:val="0"/>
          <w:i w:val="0"/>
          <w:iCs w:val="0"/>
          <w:color w:val="auto"/>
          <w:sz w:val="32"/>
          <w:szCs w:val="32"/>
          <w:highlight w:val="none"/>
        </w:rPr>
        <w:t>福建省人民政府办公厅关于印发巩固拓展经济向好势头的一揽子政策措施的通知</w:t>
      </w:r>
      <w:r>
        <w:rPr>
          <w:rFonts w:hint="eastAsia" w:ascii="仿宋" w:hAnsi="仿宋" w:eastAsia="仿宋" w:cs="仿宋_GB2312"/>
          <w:b w:val="0"/>
          <w:bCs w:val="0"/>
          <w:i w:val="0"/>
          <w:iCs w:val="0"/>
          <w:color w:val="auto"/>
          <w:sz w:val="32"/>
          <w:szCs w:val="32"/>
          <w:highlight w:val="none"/>
        </w:rPr>
        <w:t>》</w:t>
      </w:r>
      <w:r>
        <w:rPr>
          <w:rFonts w:hint="eastAsia" w:ascii="仿宋_GB2312" w:hAnsi="仿宋_GB2312" w:eastAsia="仿宋_GB2312" w:cs="仿宋_GB2312"/>
          <w:b w:val="0"/>
          <w:bCs w:val="0"/>
          <w:i w:val="0"/>
          <w:iCs w:val="0"/>
          <w:color w:val="auto"/>
          <w:sz w:val="32"/>
          <w:szCs w:val="32"/>
          <w:highlight w:val="none"/>
        </w:rPr>
        <w:t>（闽政办〔2023〕8号）、《福建省商务厅等4部门关于印发福建省2023年扩消费八大行动方案的通知》（闽商务〔2023〕35号）、《福</w:t>
      </w:r>
      <w:r>
        <w:rPr>
          <w:rFonts w:hint="eastAsia" w:ascii="仿宋_GB2312" w:hAnsi="仿宋_GB2312" w:eastAsia="仿宋_GB2312" w:cs="仿宋_GB2312"/>
          <w:b w:val="0"/>
          <w:bCs w:val="0"/>
          <w:i w:val="0"/>
          <w:iCs w:val="0"/>
          <w:color w:val="auto"/>
          <w:sz w:val="32"/>
          <w:szCs w:val="32"/>
        </w:rPr>
        <w:t>建省商务厅 福建省文化和旅游厅关于印发2023年促进消费提质升级若干措施的通知》（闽商务〔2023〕5号）精神，</w:t>
      </w:r>
      <w:r>
        <w:rPr>
          <w:rFonts w:hint="eastAsia" w:ascii="仿宋" w:hAnsi="仿宋" w:eastAsia="仿宋" w:cs="仿宋_GB2312"/>
          <w:b w:val="0"/>
          <w:color w:val="auto"/>
          <w:sz w:val="32"/>
          <w:szCs w:val="32"/>
        </w:rPr>
        <w:t>为增强消费引导，支持各地积极创建特色美食街（城）。</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二、支持对象</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创建美食街（城）项目的申报主体为相应区域的美食街（城）管理机构，包括县（区）政府或受政府委托管理美食街（城）的管委会、行业协会等。同一项目往年未申请过省级资金扶持（奖励）。山区地市、原革命老区和苏区申报项目可适当放宽标准。</w:t>
      </w:r>
    </w:p>
    <w:p>
      <w:pPr>
        <w:pStyle w:val="8"/>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三、支持标准</w:t>
      </w:r>
    </w:p>
    <w:p>
      <w:pPr>
        <w:pStyle w:val="8"/>
        <w:adjustRightInd w:val="0"/>
        <w:snapToGrid w:val="0"/>
        <w:spacing w:line="560" w:lineRule="exact"/>
        <w:ind w:firstLine="640" w:firstLineChars="200"/>
        <w:textAlignment w:val="top"/>
        <w:rPr>
          <w:rFonts w:ascii="仿宋" w:hAnsi="仿宋" w:eastAsia="仿宋"/>
          <w:color w:val="auto"/>
          <w:szCs w:val="32"/>
        </w:rPr>
      </w:pPr>
      <w:r>
        <w:rPr>
          <w:rFonts w:hint="eastAsia" w:ascii="仿宋" w:hAnsi="仿宋" w:eastAsia="仿宋"/>
          <w:color w:val="auto"/>
          <w:szCs w:val="32"/>
        </w:rPr>
        <w:t>本项资金采用项目法。省级商务发展资金将给予获得“美食街（城）”项目的，每个不高于30万元的资金奖励（厦门市可参与项目创建，但不享受省级商务发展资金扶持）。</w:t>
      </w:r>
    </w:p>
    <w:p>
      <w:pPr>
        <w:pStyle w:val="8"/>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四、申报条件</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（一）基础条件。</w:t>
      </w:r>
      <w:r>
        <w:rPr>
          <w:rFonts w:hint="eastAsia" w:ascii="仿宋" w:hAnsi="仿宋" w:eastAsia="仿宋" w:cs="仿宋_GB2312"/>
          <w:color w:val="auto"/>
          <w:sz w:val="32"/>
          <w:szCs w:val="32"/>
        </w:rPr>
        <w:t>具备一定的餐饮文化、餐饮市场和餐饮品牌集群效应，配套设施完善，管理规范，功能齐全，对地方风味菜点的形成或者当地餐饮业的繁荣与发展做出了积极贡献的专业特色街区或综合性餐饮消费场所。</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（二）选址要求。</w:t>
      </w:r>
      <w:r>
        <w:rPr>
          <w:rFonts w:hint="eastAsia" w:ascii="仿宋" w:hAnsi="仿宋" w:eastAsia="仿宋" w:cs="仿宋_GB2312"/>
          <w:color w:val="auto"/>
          <w:sz w:val="32"/>
          <w:szCs w:val="32"/>
        </w:rPr>
        <w:t>符合城市规划和商贸流通产业发展规划，交通便利，人流畅通。美食街以带状或网状街道建筑形态为主体，经营店铺沿街两侧分布，总长度不低于300米；美食城以在独立建筑物或相邻建筑物内设点为特征，建筑面积不低于</w:t>
      </w:r>
      <w:r>
        <w:rPr>
          <w:rFonts w:ascii="仿宋" w:hAnsi="仿宋" w:eastAsia="仿宋" w:cs="仿宋_GB2312"/>
          <w:color w:val="auto"/>
          <w:sz w:val="32"/>
          <w:szCs w:val="32"/>
        </w:rPr>
        <w:t>6</w:t>
      </w:r>
      <w:r>
        <w:rPr>
          <w:rFonts w:hint="eastAsia" w:ascii="仿宋" w:hAnsi="仿宋" w:eastAsia="仿宋" w:cs="仿宋_GB2312"/>
          <w:color w:val="auto"/>
          <w:sz w:val="32"/>
          <w:szCs w:val="32"/>
        </w:rPr>
        <w:t>000平方米。</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（三）规模要求。</w:t>
      </w:r>
      <w:r>
        <w:rPr>
          <w:rFonts w:hint="eastAsia" w:ascii="仿宋" w:hAnsi="仿宋" w:eastAsia="仿宋" w:cs="仿宋_GB2312"/>
          <w:color w:val="auto"/>
          <w:sz w:val="32"/>
          <w:szCs w:val="32"/>
        </w:rPr>
        <w:t>在所在市（县、区）具有较高的知名度和美誉度，区域内餐饮经营单位数量不少于30家且证照齐全，正常经营，餐饮店铺或营业面积达到该街（城）总店铺数或经营场所总面积的70%以上。</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（四）经营要求。</w:t>
      </w:r>
      <w:r>
        <w:rPr>
          <w:rFonts w:hint="eastAsia" w:ascii="仿宋" w:hAnsi="仿宋" w:eastAsia="仿宋" w:cs="仿宋_GB2312"/>
          <w:color w:val="auto"/>
          <w:sz w:val="32"/>
          <w:szCs w:val="32"/>
        </w:rPr>
        <w:t>注重食品安全、燃气安全，崇尚诚信经营，不使用不可降解塑料制品，减少使用一次性餐具。引导消费者合理消费，坚决制止餐饮浪费。拥有一定数量的国际国内品牌餐饮企业、名菜名小吃等品牌菜品、烹饪大师或名师。</w:t>
      </w:r>
    </w:p>
    <w:p>
      <w:pPr>
        <w:pStyle w:val="8"/>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五、申报材料</w:t>
      </w:r>
    </w:p>
    <w:p>
      <w:pPr>
        <w:pStyle w:val="8"/>
        <w:adjustRightInd w:val="0"/>
        <w:snapToGrid w:val="0"/>
        <w:spacing w:line="560" w:lineRule="exact"/>
        <w:ind w:firstLine="640" w:firstLineChars="200"/>
        <w:textAlignment w:val="top"/>
        <w:rPr>
          <w:rFonts w:ascii="仿宋" w:hAnsi="仿宋" w:eastAsia="仿宋"/>
          <w:color w:val="auto"/>
          <w:szCs w:val="32"/>
        </w:rPr>
      </w:pPr>
      <w:r>
        <w:rPr>
          <w:rFonts w:hint="eastAsia" w:ascii="仿宋" w:hAnsi="仿宋" w:eastAsia="仿宋"/>
          <w:color w:val="auto"/>
          <w:szCs w:val="32"/>
        </w:rPr>
        <w:t>项目申请单位需提交以下书面材料，按顺序装订成册，每页盖章：</w:t>
      </w:r>
    </w:p>
    <w:p>
      <w:pPr>
        <w:pStyle w:val="8"/>
        <w:adjustRightInd w:val="0"/>
        <w:snapToGrid w:val="0"/>
        <w:spacing w:line="560" w:lineRule="exact"/>
        <w:ind w:firstLine="640" w:firstLineChars="200"/>
        <w:textAlignment w:val="top"/>
        <w:rPr>
          <w:rFonts w:ascii="仿宋" w:hAnsi="仿宋" w:eastAsia="仿宋"/>
          <w:color w:val="auto"/>
          <w:szCs w:val="32"/>
        </w:rPr>
      </w:pPr>
      <w:r>
        <w:rPr>
          <w:rFonts w:hint="eastAsia" w:ascii="仿宋" w:hAnsi="仿宋" w:eastAsia="仿宋"/>
          <w:color w:val="auto"/>
          <w:szCs w:val="32"/>
        </w:rPr>
        <w:t>（一）设区市商务主管部门</w:t>
      </w:r>
      <w:r>
        <w:rPr>
          <w:rFonts w:hint="default" w:ascii="仿宋" w:hAnsi="仿宋" w:eastAsia="仿宋"/>
          <w:color w:val="auto"/>
          <w:szCs w:val="32"/>
        </w:rPr>
        <w:t>（含平潭综合实验区，下同）</w:t>
      </w:r>
      <w:r>
        <w:rPr>
          <w:rFonts w:hint="eastAsia" w:ascii="仿宋" w:hAnsi="仿宋" w:eastAsia="仿宋"/>
          <w:color w:val="auto"/>
          <w:szCs w:val="32"/>
        </w:rPr>
        <w:t>联合财政主管部门出推荐函（加盖公章）。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（二）《美食街（城）创建申请表》。</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申请报告，报告需对拟申请评审美食街（城）区域的地址、规模、公共设施、企业品牌与知名度、餐饮产品特色与品牌、餐饮人才与教育、日常管理等方面做详细说明；并对未来三年的发展做出规划，包括发展战略目标制定与执行、规划建设等情况。</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（四）美食街（城）入驻餐饮企业名单（包括企业名、商户名、地址或门牌号、主营菜系菜品、厨师团队、联系方式）</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限额以上企业、“中华老字号”、“福建老字号”、“福建餐饮名店”、“福建小吃名店”、“福建名菜”、“福建名小吃”、“福建名点”、中国烹饪大师、中国烹饪名师、闽菜大师、闽菜名师、高级及以上厨师名单等辅助材料。</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（六）街（城）名称标识、标志性景观、街（城）全貌、特色建筑、门店招牌、公共设施等实景彩色图像。</w:t>
      </w:r>
    </w:p>
    <w:p>
      <w:pPr>
        <w:pStyle w:val="8"/>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六、申报程序</w:t>
      </w:r>
    </w:p>
    <w:p>
      <w:pPr>
        <w:pStyle w:val="8"/>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（一）申报材料。</w:t>
      </w:r>
      <w:r>
        <w:rPr>
          <w:rFonts w:hint="eastAsia" w:ascii="仿宋" w:hAnsi="仿宋" w:eastAsia="仿宋" w:cs="仿宋_GB2312"/>
          <w:color w:val="auto"/>
          <w:szCs w:val="32"/>
        </w:rPr>
        <w:t>有意向创建美食街城的项目单位按属地原则向本地商务部门递交</w:t>
      </w:r>
      <w:r>
        <w:rPr>
          <w:rFonts w:hint="eastAsia" w:ascii="仿宋" w:hAnsi="仿宋" w:eastAsia="仿宋"/>
          <w:color w:val="auto"/>
          <w:szCs w:val="32"/>
        </w:rPr>
        <w:t>申请材料。</w:t>
      </w:r>
      <w:r>
        <w:rPr>
          <w:rFonts w:hint="eastAsia" w:ascii="仿宋" w:hAnsi="仿宋" w:eastAsia="仿宋"/>
          <w:b/>
          <w:bCs/>
          <w:color w:val="auto"/>
          <w:szCs w:val="32"/>
        </w:rPr>
        <w:t>各设区市商务主管部门会同财政部门初审后</w:t>
      </w:r>
      <w:r>
        <w:rPr>
          <w:rFonts w:hint="eastAsia" w:ascii="仿宋" w:hAnsi="仿宋" w:eastAsia="仿宋" w:cs="仿宋_GB2312"/>
          <w:b/>
          <w:bCs/>
          <w:color w:val="auto"/>
          <w:szCs w:val="32"/>
        </w:rPr>
        <w:t>确定推荐名单</w:t>
      </w:r>
      <w:r>
        <w:rPr>
          <w:rFonts w:hint="eastAsia" w:ascii="仿宋" w:hAnsi="仿宋" w:eastAsia="仿宋"/>
          <w:b/>
          <w:bCs/>
          <w:color w:val="auto"/>
          <w:szCs w:val="32"/>
        </w:rPr>
        <w:t>。</w:t>
      </w:r>
      <w:r>
        <w:rPr>
          <w:rFonts w:hint="eastAsia" w:ascii="仿宋" w:hAnsi="仿宋" w:eastAsia="仿宋"/>
          <w:color w:val="auto"/>
          <w:szCs w:val="32"/>
        </w:rPr>
        <w:t>申请材料（一式一份）于2023年7月31日前联合</w:t>
      </w:r>
      <w:r>
        <w:rPr>
          <w:rFonts w:hint="eastAsia" w:ascii="仿宋" w:hAnsi="仿宋" w:eastAsia="仿宋" w:cs="仿宋_GB2312"/>
          <w:color w:val="auto"/>
          <w:szCs w:val="32"/>
        </w:rPr>
        <w:t>上报省商务厅、财政厅审定。省商务厅、财政厅复审过程需要项目单位补充或修改材料的情况，将及时通知设区市商务局由其统筹协调后按规定时间统一补交。</w:t>
      </w:r>
    </w:p>
    <w:p>
      <w:pPr>
        <w:pStyle w:val="8"/>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（二）项目审核。</w:t>
      </w:r>
      <w:r>
        <w:rPr>
          <w:rFonts w:hint="eastAsia" w:ascii="仿宋" w:hAnsi="仿宋" w:eastAsia="仿宋"/>
          <w:color w:val="auto"/>
          <w:szCs w:val="32"/>
        </w:rPr>
        <w:t>省商务厅将牵头组织开展项目审核。本项目实行评分制，按得分高低择优确定拟支持项目。</w:t>
      </w:r>
      <w:r>
        <w:rPr>
          <w:rFonts w:hint="eastAsia" w:ascii="仿宋" w:hAnsi="仿宋" w:eastAsia="仿宋" w:cs="仿宋_GB2312"/>
          <w:color w:val="auto"/>
          <w:szCs w:val="32"/>
        </w:rPr>
        <w:t>省商务厅将联合省财政厅适时开展抽查。</w:t>
      </w:r>
    </w:p>
    <w:p>
      <w:pPr>
        <w:pStyle w:val="8"/>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（三）项目公示。</w:t>
      </w:r>
      <w:r>
        <w:rPr>
          <w:rFonts w:hint="eastAsia" w:ascii="仿宋" w:hAnsi="仿宋" w:eastAsia="仿宋"/>
          <w:color w:val="auto"/>
          <w:szCs w:val="32"/>
        </w:rPr>
        <w:t>审核通过的“美食街（城）”名单向社会公示。</w:t>
      </w:r>
    </w:p>
    <w:p>
      <w:pPr>
        <w:pStyle w:val="8"/>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（四）资金拨付。</w:t>
      </w:r>
      <w:r>
        <w:rPr>
          <w:rFonts w:hint="eastAsia" w:ascii="仿宋" w:hAnsi="仿宋" w:eastAsia="仿宋"/>
          <w:color w:val="auto"/>
          <w:szCs w:val="32"/>
        </w:rPr>
        <w:t>经公示无异议，按年度发布“美食街（城）”名单。奖励资金以项目法下达各设区市，由各设区市拨付至项目单位。</w:t>
      </w:r>
    </w:p>
    <w:p>
      <w:pPr>
        <w:pStyle w:val="8"/>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（五）项目管理。</w:t>
      </w:r>
      <w:r>
        <w:rPr>
          <w:rFonts w:hint="eastAsia" w:ascii="仿宋" w:hAnsi="仿宋" w:eastAsia="仿宋"/>
          <w:color w:val="auto"/>
          <w:szCs w:val="32"/>
        </w:rPr>
        <w:t>美食街城列入“全闽乐购”、商旅融合、夜间经济等促消费活动推荐对象，并实行动态管理。列入“美食街（城）”后，发生生产安全事故的，</w:t>
      </w:r>
      <w:r>
        <w:rPr>
          <w:rFonts w:hint="default" w:ascii="仿宋" w:hAnsi="仿宋" w:eastAsia="仿宋"/>
          <w:color w:val="auto"/>
          <w:szCs w:val="32"/>
        </w:rPr>
        <w:t>视</w:t>
      </w:r>
      <w:r>
        <w:rPr>
          <w:rFonts w:hint="eastAsia" w:ascii="仿宋" w:hAnsi="仿宋" w:eastAsia="仿宋"/>
          <w:color w:val="auto"/>
          <w:szCs w:val="32"/>
        </w:rPr>
        <w:t>情予以摘牌并向社会公告。</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联系人：省商务厅彭涌泉，电话：87270151</w:t>
      </w:r>
    </w:p>
    <w:p>
      <w:pPr>
        <w:pStyle w:val="8"/>
        <w:adjustRightInd w:val="0"/>
        <w:spacing w:line="560" w:lineRule="exact"/>
        <w:ind w:firstLine="616" w:firstLineChars="200"/>
        <w:textAlignment w:val="top"/>
        <w:rPr>
          <w:rFonts w:ascii="仿宋" w:hAnsi="仿宋" w:eastAsia="仿宋"/>
          <w:color w:val="auto"/>
          <w:spacing w:val="-6"/>
          <w:szCs w:val="32"/>
        </w:rPr>
      </w:pPr>
    </w:p>
    <w:p>
      <w:pPr>
        <w:pStyle w:val="8"/>
        <w:adjustRightInd w:val="0"/>
        <w:spacing w:line="560" w:lineRule="exact"/>
        <w:ind w:firstLine="616" w:firstLineChars="200"/>
        <w:textAlignment w:val="top"/>
        <w:rPr>
          <w:rFonts w:ascii="仿宋" w:hAnsi="仿宋" w:eastAsia="仿宋"/>
          <w:color w:val="auto"/>
          <w:spacing w:val="-6"/>
          <w:szCs w:val="32"/>
        </w:rPr>
      </w:pPr>
      <w:r>
        <w:rPr>
          <w:rFonts w:hint="eastAsia" w:ascii="仿宋" w:hAnsi="仿宋" w:eastAsia="仿宋"/>
          <w:color w:val="auto"/>
          <w:spacing w:val="-6"/>
          <w:szCs w:val="32"/>
        </w:rPr>
        <w:t>附件：美食街（城）创建申请表</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br w:type="page"/>
      </w:r>
    </w:p>
    <w:p>
      <w:pPr>
        <w:spacing w:line="56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附件3</w:t>
      </w:r>
      <w:r>
        <w:rPr>
          <w:rFonts w:hint="default" w:ascii="仿宋" w:hAnsi="仿宋" w:eastAsia="仿宋" w:cs="宋体"/>
          <w:color w:val="auto"/>
          <w:sz w:val="32"/>
          <w:szCs w:val="32"/>
        </w:rPr>
        <w:t>-</w:t>
      </w:r>
      <w:r>
        <w:rPr>
          <w:rFonts w:hint="eastAsia" w:ascii="仿宋" w:hAnsi="仿宋" w:eastAsia="仿宋" w:cs="宋体"/>
          <w:color w:val="auto"/>
          <w:sz w:val="32"/>
          <w:szCs w:val="32"/>
        </w:rPr>
        <w:t>1</w:t>
      </w:r>
    </w:p>
    <w:p>
      <w:pPr>
        <w:spacing w:line="56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美食街（城）创建申请表</w:t>
      </w:r>
    </w:p>
    <w:p>
      <w:pPr>
        <w:spacing w:line="560" w:lineRule="exact"/>
        <w:ind w:firstLine="640" w:firstLineChars="200"/>
        <w:rPr>
          <w:rFonts w:ascii="仿宋" w:hAnsi="仿宋" w:eastAsia="仿宋"/>
          <w:color w:val="auto"/>
          <w:sz w:val="32"/>
          <w:szCs w:val="32"/>
        </w:rPr>
      </w:pPr>
    </w:p>
    <w:tbl>
      <w:tblPr>
        <w:tblStyle w:val="6"/>
        <w:tblW w:w="8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84"/>
        <w:gridCol w:w="524"/>
        <w:gridCol w:w="1189"/>
        <w:gridCol w:w="71"/>
        <w:gridCol w:w="360"/>
        <w:gridCol w:w="927"/>
        <w:gridCol w:w="513"/>
        <w:gridCol w:w="1188"/>
        <w:gridCol w:w="61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申请单位</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申请项目</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地    址</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街区总长度</w:t>
            </w:r>
          </w:p>
        </w:tc>
        <w:tc>
          <w:tcPr>
            <w:tcW w:w="1208"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米</w:t>
            </w:r>
          </w:p>
        </w:tc>
        <w:tc>
          <w:tcPr>
            <w:tcW w:w="1260"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建筑面积</w:t>
            </w:r>
          </w:p>
        </w:tc>
        <w:tc>
          <w:tcPr>
            <w:tcW w:w="1800"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平方米</w:t>
            </w:r>
          </w:p>
        </w:tc>
        <w:tc>
          <w:tcPr>
            <w:tcW w:w="1800"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餐饮面积占比</w:t>
            </w:r>
          </w:p>
        </w:tc>
        <w:tc>
          <w:tcPr>
            <w:tcW w:w="1090" w:type="dxa"/>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56"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入驻餐饮经营单位</w:t>
            </w:r>
          </w:p>
        </w:tc>
        <w:tc>
          <w:tcPr>
            <w:tcW w:w="2144" w:type="dxa"/>
            <w:gridSpan w:val="4"/>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家</w:t>
            </w:r>
          </w:p>
        </w:tc>
        <w:tc>
          <w:tcPr>
            <w:tcW w:w="2628"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从业人员</w:t>
            </w:r>
          </w:p>
        </w:tc>
        <w:tc>
          <w:tcPr>
            <w:tcW w:w="1702"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年营业额</w:t>
            </w:r>
          </w:p>
        </w:tc>
        <w:tc>
          <w:tcPr>
            <w:tcW w:w="2828" w:type="dxa"/>
            <w:gridSpan w:val="5"/>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万元</w:t>
            </w:r>
          </w:p>
        </w:tc>
        <w:tc>
          <w:tcPr>
            <w:tcW w:w="2628"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限额以上企业</w:t>
            </w:r>
          </w:p>
        </w:tc>
        <w:tc>
          <w:tcPr>
            <w:tcW w:w="1702"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联系人</w:t>
            </w:r>
          </w:p>
        </w:tc>
        <w:tc>
          <w:tcPr>
            <w:tcW w:w="2397" w:type="dxa"/>
            <w:gridSpan w:val="3"/>
            <w:vAlign w:val="center"/>
          </w:tcPr>
          <w:p>
            <w:pPr>
              <w:spacing w:line="560" w:lineRule="exact"/>
              <w:rPr>
                <w:rFonts w:ascii="仿宋" w:hAnsi="仿宋" w:eastAsia="仿宋"/>
                <w:color w:val="auto"/>
                <w:szCs w:val="21"/>
              </w:rPr>
            </w:pPr>
          </w:p>
        </w:tc>
        <w:tc>
          <w:tcPr>
            <w:tcW w:w="1358"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联系电话</w:t>
            </w:r>
          </w:p>
        </w:tc>
        <w:tc>
          <w:tcPr>
            <w:tcW w:w="3403" w:type="dxa"/>
            <w:gridSpan w:val="4"/>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联系地址</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8830" w:type="dxa"/>
            <w:gridSpan w:val="11"/>
          </w:tcPr>
          <w:p>
            <w:pPr>
              <w:spacing w:line="560" w:lineRule="exact"/>
              <w:rPr>
                <w:rFonts w:ascii="仿宋" w:hAnsi="仿宋" w:eastAsia="仿宋"/>
                <w:color w:val="auto"/>
                <w:szCs w:val="21"/>
              </w:rPr>
            </w:pPr>
          </w:p>
          <w:p>
            <w:pPr>
              <w:spacing w:line="560" w:lineRule="exact"/>
              <w:rPr>
                <w:rFonts w:ascii="仿宋" w:hAnsi="仿宋" w:eastAsia="仿宋"/>
                <w:color w:val="auto"/>
                <w:szCs w:val="21"/>
              </w:rPr>
            </w:pPr>
          </w:p>
          <w:p>
            <w:pPr>
              <w:spacing w:line="560" w:lineRule="exact"/>
              <w:rPr>
                <w:rFonts w:ascii="仿宋" w:hAnsi="仿宋" w:eastAsia="仿宋"/>
                <w:color w:val="auto"/>
                <w:szCs w:val="21"/>
              </w:rPr>
            </w:pPr>
          </w:p>
          <w:p>
            <w:pPr>
              <w:spacing w:line="560" w:lineRule="exact"/>
              <w:rPr>
                <w:rFonts w:ascii="仿宋" w:hAnsi="仿宋" w:eastAsia="仿宋"/>
                <w:color w:val="auto"/>
                <w:szCs w:val="21"/>
              </w:rPr>
            </w:pPr>
            <w:r>
              <w:rPr>
                <w:rFonts w:hint="eastAsia" w:ascii="仿宋" w:hAnsi="仿宋" w:eastAsia="仿宋"/>
                <w:color w:val="auto"/>
                <w:szCs w:val="21"/>
              </w:rPr>
              <w:t xml:space="preserve">我司承诺以下内容，如有违反，后果自行承担。    </w:t>
            </w:r>
          </w:p>
          <w:p>
            <w:pPr>
              <w:spacing w:line="560" w:lineRule="exact"/>
              <w:rPr>
                <w:rFonts w:ascii="仿宋" w:hAnsi="仿宋" w:eastAsia="仿宋"/>
                <w:color w:val="auto"/>
                <w:szCs w:val="21"/>
              </w:rPr>
            </w:pPr>
            <w:r>
              <w:rPr>
                <w:rFonts w:hint="eastAsia" w:ascii="仿宋" w:hAnsi="仿宋" w:eastAsia="仿宋"/>
                <w:color w:val="auto"/>
                <w:szCs w:val="21"/>
              </w:rPr>
              <w:t>1.近年未发生过重大食品安全事故和安全生产事故，监督抽检未发现不合格产品；</w:t>
            </w:r>
          </w:p>
          <w:p>
            <w:pPr>
              <w:spacing w:line="560" w:lineRule="exact"/>
              <w:rPr>
                <w:rFonts w:ascii="仿宋" w:hAnsi="仿宋" w:eastAsia="仿宋"/>
                <w:color w:val="auto"/>
                <w:szCs w:val="21"/>
              </w:rPr>
            </w:pPr>
            <w:r>
              <w:rPr>
                <w:rFonts w:hint="eastAsia" w:ascii="仿宋" w:hAnsi="仿宋" w:eastAsia="仿宋"/>
                <w:color w:val="auto"/>
                <w:szCs w:val="21"/>
              </w:rPr>
              <w:t>2.所有申报资料真实可靠，无弄虚作假情况。</w:t>
            </w:r>
          </w:p>
          <w:p>
            <w:pPr>
              <w:spacing w:line="560" w:lineRule="exact"/>
              <w:rPr>
                <w:rFonts w:ascii="仿宋" w:hAnsi="仿宋" w:eastAsia="仿宋"/>
                <w:color w:val="auto"/>
                <w:szCs w:val="21"/>
              </w:rPr>
            </w:pPr>
            <w:r>
              <w:rPr>
                <w:rFonts w:hint="eastAsia" w:ascii="仿宋" w:hAnsi="仿宋" w:eastAsia="仿宋"/>
                <w:color w:val="auto"/>
                <w:szCs w:val="21"/>
              </w:rPr>
              <w:t xml:space="preserve">        </w:t>
            </w:r>
          </w:p>
          <w:p>
            <w:pPr>
              <w:spacing w:line="560" w:lineRule="exact"/>
              <w:rPr>
                <w:rFonts w:ascii="仿宋" w:hAnsi="仿宋" w:eastAsia="仿宋"/>
                <w:color w:val="auto"/>
                <w:szCs w:val="21"/>
              </w:rPr>
            </w:pPr>
          </w:p>
          <w:p>
            <w:pPr>
              <w:spacing w:line="560" w:lineRule="exact"/>
              <w:rPr>
                <w:rFonts w:ascii="仿宋" w:hAnsi="仿宋" w:eastAsia="仿宋"/>
                <w:color w:val="auto"/>
                <w:szCs w:val="21"/>
              </w:rPr>
            </w:pPr>
          </w:p>
          <w:p>
            <w:pPr>
              <w:spacing w:line="560" w:lineRule="exact"/>
              <w:rPr>
                <w:rFonts w:ascii="仿宋" w:hAnsi="仿宋" w:eastAsia="仿宋"/>
                <w:color w:val="auto"/>
                <w:szCs w:val="21"/>
              </w:rPr>
            </w:pPr>
            <w:r>
              <w:rPr>
                <w:rFonts w:hint="eastAsia" w:ascii="仿宋" w:hAnsi="仿宋" w:eastAsia="仿宋"/>
                <w:color w:val="auto"/>
                <w:szCs w:val="21"/>
              </w:rPr>
              <w:t>单位名称（盖章）：</w:t>
            </w:r>
            <w:r>
              <w:rPr>
                <w:rFonts w:hint="eastAsia" w:ascii="仿宋" w:hAnsi="仿宋" w:eastAsia="仿宋"/>
                <w:color w:val="auto"/>
                <w:szCs w:val="21"/>
                <w:u w:val="single"/>
              </w:rPr>
              <w:t xml:space="preserve">                              </w:t>
            </w:r>
          </w:p>
        </w:tc>
      </w:tr>
    </w:tbl>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3A018D5"/>
    <w:rsid w:val="009B4F25"/>
    <w:rsid w:val="009C360A"/>
    <w:rsid w:val="00B91FE1"/>
    <w:rsid w:val="00F4684A"/>
    <w:rsid w:val="03A018D5"/>
    <w:rsid w:val="10E91DCD"/>
    <w:rsid w:val="16031296"/>
    <w:rsid w:val="3DF560B3"/>
    <w:rsid w:val="4788702A"/>
    <w:rsid w:val="4F226DA3"/>
    <w:rsid w:val="584C1D1B"/>
    <w:rsid w:val="58BE7884"/>
    <w:rsid w:val="5B6F3449"/>
    <w:rsid w:val="72A52A9A"/>
    <w:rsid w:val="7FEC6ABB"/>
    <w:rsid w:val="DFFB6A99"/>
    <w:rsid w:val="FF7F23C5"/>
    <w:rsid w:val="FFCD5F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
    <w:name w:val="页眉 Char"/>
    <w:basedOn w:val="7"/>
    <w:link w:val="4"/>
    <w:qFormat/>
    <w:uiPriority w:val="0"/>
    <w:rPr>
      <w:rFonts w:ascii="Calibri" w:hAnsi="Calibri" w:eastAsia="宋体" w:cs="Times New Roman"/>
      <w:kern w:val="2"/>
      <w:sz w:val="18"/>
      <w:szCs w:val="18"/>
    </w:rPr>
  </w:style>
  <w:style w:type="character" w:customStyle="1" w:styleId="10">
    <w:name w:val="页脚 Char"/>
    <w:basedOn w:val="7"/>
    <w:link w:val="3"/>
    <w:qFormat/>
    <w:uiPriority w:val="0"/>
    <w:rPr>
      <w:rFonts w:ascii="Calibri" w:hAnsi="Calibri" w:eastAsia="宋体" w:cs="Times New Roman"/>
      <w:kern w:val="2"/>
      <w:sz w:val="18"/>
      <w:szCs w:val="18"/>
    </w:rPr>
  </w:style>
  <w:style w:type="character" w:customStyle="1" w:styleId="11">
    <w:name w:val="标题 2 Char"/>
    <w:basedOn w:val="7"/>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Pages>
  <Words>338</Words>
  <Characters>1928</Characters>
  <Lines>16</Lines>
  <Paragraphs>4</Paragraphs>
  <TotalTime>0</TotalTime>
  <ScaleCrop>false</ScaleCrop>
  <LinksUpToDate>false</LinksUpToDate>
  <CharactersWithSpaces>2262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2023-03-30T14:59:00Z</dcterms:created>
  <dc:creator>Administrator</dc:creator>
  <cp:lastModifiedBy>Yangjie</cp:lastModifiedBy>
  <cp:lastPrinted>2023-06-05T01:39:00Z</cp:lastPrinted>
  <dcterms:modified xsi:type="dcterms:W3CDTF">2023-06-06T02:33:35Z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F8F8538DD9A245C39ED6A4AFB953D65E</vt:lpwstr>
  </property>
</Properties>
</file>