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5BD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份福州市物流业景气指数（LPI）情况</w:t>
      </w:r>
      <w:bookmarkEnd w:id="0"/>
    </w:p>
    <w:p w14:paraId="20E6FE40"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 w14:paraId="68796EA6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rPr>
          <w:rFonts w:hint="eastAsia" w:ascii="仿宋_GB2312" w:hAnsi="仿宋" w:eastAsia="仿宋_GB2312"/>
          <w:b w:val="0"/>
          <w:sz w:val="32"/>
          <w:lang w:val="en-US" w:eastAsia="zh-CN"/>
        </w:rPr>
        <w:t>3月，福州市物流业景气指数为52.7%，较上月回升4.3个百分点，重返荣枯线以上扩张区间，呈现节后快速修复态势。本月指数较上年同期（52.3%）高0.4个百分点，物流业运行稳健向好。12个单项指数呈现“十升二降”。其中：固定资产投资完成额、平均库存量、库存周转次数、业务活动预期、设备利用率、从业人员、主营业务成本、新订单、业务总量、资金周转率等十项指数较上月回升，回升幅度在0.2%至7.1%之间；主营业务利润指数、物流服务价格指数两项较上月分别回落0.4和1.8个百分点（见表1）。</w:t>
      </w:r>
    </w:p>
    <w:p w14:paraId="20D814B1"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215900</wp:posOffset>
            </wp:positionV>
            <wp:extent cx="5615305" cy="2633980"/>
            <wp:effectExtent l="0" t="0" r="8255" b="2540"/>
            <wp:wrapNone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53F5090F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282E715C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65BEA695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01AB5616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2579C74E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1B28DB1E">
      <w:pPr>
        <w:widowControl/>
        <w:spacing w:line="560" w:lineRule="exact"/>
        <w:ind w:firstLine="420" w:firstLineChars="200"/>
      </w:pPr>
    </w:p>
    <w:p w14:paraId="6FF56CC6">
      <w:pPr>
        <w:widowControl/>
        <w:spacing w:line="560" w:lineRule="exact"/>
        <w:ind w:firstLine="420" w:firstLineChars="200"/>
      </w:pPr>
    </w:p>
    <w:p w14:paraId="30596B2C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图1 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福州市物流业景气指数（LPI）</w:t>
      </w:r>
    </w:p>
    <w:p w14:paraId="350B23D2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20E3EDF4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tbl>
      <w:tblPr>
        <w:tblStyle w:val="6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 w14:paraId="6ECF28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tblHeader/>
          <w:jc w:val="center"/>
        </w:trPr>
        <w:tc>
          <w:tcPr>
            <w:tcW w:w="2518" w:type="dxa"/>
            <w:noWrap/>
            <w:vAlign w:val="center"/>
          </w:tcPr>
          <w:p w14:paraId="2A00AA0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53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5" w:type="dxa"/>
            <w:noWrap/>
            <w:vAlign w:val="center"/>
          </w:tcPr>
          <w:p w14:paraId="6273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20" w:type="dxa"/>
            <w:vAlign w:val="center"/>
          </w:tcPr>
          <w:p w14:paraId="4C7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  <w:tc>
          <w:tcPr>
            <w:tcW w:w="1320" w:type="dxa"/>
            <w:vAlign w:val="center"/>
          </w:tcPr>
          <w:p w14:paraId="00A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31" w:type="dxa"/>
            <w:noWrap/>
            <w:vAlign w:val="center"/>
          </w:tcPr>
          <w:p w14:paraId="333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</w:tr>
      <w:tr w14:paraId="141FD2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84F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 w14:paraId="4997D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275" w:type="dxa"/>
            <w:noWrap/>
            <w:vAlign w:val="bottom"/>
          </w:tcPr>
          <w:p w14:paraId="2977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</w:t>
            </w:r>
          </w:p>
        </w:tc>
        <w:tc>
          <w:tcPr>
            <w:tcW w:w="1320" w:type="dxa"/>
            <w:vAlign w:val="bottom"/>
          </w:tcPr>
          <w:p w14:paraId="6561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320" w:type="dxa"/>
            <w:vAlign w:val="bottom"/>
          </w:tcPr>
          <w:p w14:paraId="163E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52.3</w:t>
            </w:r>
          </w:p>
        </w:tc>
        <w:tc>
          <w:tcPr>
            <w:tcW w:w="1331" w:type="dxa"/>
            <w:noWrap/>
            <w:vAlign w:val="bottom"/>
          </w:tcPr>
          <w:p w14:paraId="129D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 w14:paraId="46DEB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759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 w14:paraId="1592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</w:t>
            </w:r>
          </w:p>
        </w:tc>
        <w:tc>
          <w:tcPr>
            <w:tcW w:w="1275" w:type="dxa"/>
            <w:noWrap/>
            <w:vAlign w:val="bottom"/>
          </w:tcPr>
          <w:p w14:paraId="0E57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320" w:type="dxa"/>
            <w:vAlign w:val="bottom"/>
          </w:tcPr>
          <w:p w14:paraId="3840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320" w:type="dxa"/>
            <w:vAlign w:val="bottom"/>
          </w:tcPr>
          <w:p w14:paraId="1E9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48.6</w:t>
            </w:r>
          </w:p>
        </w:tc>
        <w:tc>
          <w:tcPr>
            <w:tcW w:w="1331" w:type="dxa"/>
            <w:noWrap/>
            <w:vAlign w:val="bottom"/>
          </w:tcPr>
          <w:p w14:paraId="2ABD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-0.3</w:t>
            </w:r>
          </w:p>
        </w:tc>
      </w:tr>
      <w:tr w14:paraId="7017BD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267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 w14:paraId="6A6C6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275" w:type="dxa"/>
            <w:noWrap/>
            <w:vAlign w:val="bottom"/>
          </w:tcPr>
          <w:p w14:paraId="5549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320" w:type="dxa"/>
            <w:vAlign w:val="bottom"/>
          </w:tcPr>
          <w:p w14:paraId="607B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320" w:type="dxa"/>
            <w:vAlign w:val="bottom"/>
          </w:tcPr>
          <w:p w14:paraId="5CBC9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51.1</w:t>
            </w:r>
          </w:p>
        </w:tc>
        <w:tc>
          <w:tcPr>
            <w:tcW w:w="1331" w:type="dxa"/>
            <w:noWrap/>
            <w:vAlign w:val="bottom"/>
          </w:tcPr>
          <w:p w14:paraId="4889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 w14:paraId="03213B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1FC9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 w14:paraId="4364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275" w:type="dxa"/>
            <w:noWrap/>
            <w:vAlign w:val="bottom"/>
          </w:tcPr>
          <w:p w14:paraId="0F9B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320" w:type="dxa"/>
            <w:vAlign w:val="bottom"/>
          </w:tcPr>
          <w:p w14:paraId="0DFF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320" w:type="dxa"/>
            <w:vAlign w:val="bottom"/>
          </w:tcPr>
          <w:p w14:paraId="1EA5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45.4</w:t>
            </w:r>
          </w:p>
        </w:tc>
        <w:tc>
          <w:tcPr>
            <w:tcW w:w="1331" w:type="dxa"/>
            <w:noWrap/>
            <w:vAlign w:val="bottom"/>
          </w:tcPr>
          <w:p w14:paraId="6443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</w:tr>
      <w:tr w14:paraId="4DC324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B8B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 w14:paraId="304B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275" w:type="dxa"/>
            <w:noWrap/>
            <w:vAlign w:val="bottom"/>
          </w:tcPr>
          <w:p w14:paraId="7624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320" w:type="dxa"/>
            <w:vAlign w:val="bottom"/>
          </w:tcPr>
          <w:p w14:paraId="4203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320" w:type="dxa"/>
            <w:vAlign w:val="bottom"/>
          </w:tcPr>
          <w:p w14:paraId="52EC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59.1</w:t>
            </w:r>
          </w:p>
        </w:tc>
        <w:tc>
          <w:tcPr>
            <w:tcW w:w="1331" w:type="dxa"/>
            <w:noWrap/>
            <w:vAlign w:val="bottom"/>
          </w:tcPr>
          <w:p w14:paraId="42FD4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 w14:paraId="07C0D2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605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物流服务价格</w:t>
            </w:r>
          </w:p>
        </w:tc>
        <w:tc>
          <w:tcPr>
            <w:tcW w:w="1240" w:type="dxa"/>
            <w:noWrap/>
            <w:vAlign w:val="bottom"/>
          </w:tcPr>
          <w:p w14:paraId="0F04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275" w:type="dxa"/>
            <w:noWrap/>
            <w:vAlign w:val="bottom"/>
          </w:tcPr>
          <w:p w14:paraId="0C1B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320" w:type="dxa"/>
            <w:vAlign w:val="bottom"/>
          </w:tcPr>
          <w:p w14:paraId="2A914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-1.8</w:t>
            </w:r>
          </w:p>
        </w:tc>
        <w:tc>
          <w:tcPr>
            <w:tcW w:w="1320" w:type="dxa"/>
            <w:vAlign w:val="bottom"/>
          </w:tcPr>
          <w:p w14:paraId="490C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52.3</w:t>
            </w:r>
          </w:p>
        </w:tc>
        <w:tc>
          <w:tcPr>
            <w:tcW w:w="1331" w:type="dxa"/>
            <w:noWrap/>
            <w:vAlign w:val="bottom"/>
          </w:tcPr>
          <w:p w14:paraId="09D7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-3.0</w:t>
            </w:r>
          </w:p>
        </w:tc>
      </w:tr>
      <w:tr w14:paraId="50A57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08F4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 w14:paraId="0AC1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1275" w:type="dxa"/>
            <w:noWrap/>
            <w:vAlign w:val="bottom"/>
          </w:tcPr>
          <w:p w14:paraId="7113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320" w:type="dxa"/>
            <w:vAlign w:val="bottom"/>
          </w:tcPr>
          <w:p w14:paraId="6940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320" w:type="dxa"/>
            <w:vAlign w:val="bottom"/>
          </w:tcPr>
          <w:p w14:paraId="2404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53.6</w:t>
            </w:r>
          </w:p>
        </w:tc>
        <w:tc>
          <w:tcPr>
            <w:tcW w:w="1331" w:type="dxa"/>
            <w:noWrap/>
            <w:vAlign w:val="bottom"/>
          </w:tcPr>
          <w:p w14:paraId="3A732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  <w:tr w14:paraId="2B3E8F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43F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 w14:paraId="3ABB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275" w:type="dxa"/>
            <w:noWrap/>
            <w:vAlign w:val="bottom"/>
          </w:tcPr>
          <w:p w14:paraId="304F3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48.3 </w:t>
            </w:r>
          </w:p>
        </w:tc>
        <w:tc>
          <w:tcPr>
            <w:tcW w:w="1320" w:type="dxa"/>
            <w:vAlign w:val="bottom"/>
          </w:tcPr>
          <w:p w14:paraId="25B4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320" w:type="dxa"/>
            <w:vAlign w:val="bottom"/>
          </w:tcPr>
          <w:p w14:paraId="59CA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</w:t>
            </w:r>
          </w:p>
        </w:tc>
        <w:tc>
          <w:tcPr>
            <w:tcW w:w="1331" w:type="dxa"/>
            <w:noWrap/>
            <w:vAlign w:val="bottom"/>
          </w:tcPr>
          <w:p w14:paraId="1787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-1.4</w:t>
            </w:r>
          </w:p>
        </w:tc>
      </w:tr>
      <w:tr w14:paraId="05640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18" w:type="dxa"/>
            <w:noWrap/>
            <w:vAlign w:val="bottom"/>
          </w:tcPr>
          <w:p w14:paraId="20D7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 w14:paraId="7049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.2 </w:t>
            </w:r>
          </w:p>
        </w:tc>
        <w:tc>
          <w:tcPr>
            <w:tcW w:w="1275" w:type="dxa"/>
            <w:noWrap/>
            <w:vAlign w:val="bottom"/>
          </w:tcPr>
          <w:p w14:paraId="3C25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320" w:type="dxa"/>
            <w:vAlign w:val="bottom"/>
          </w:tcPr>
          <w:p w14:paraId="3155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320" w:type="dxa"/>
            <w:vAlign w:val="bottom"/>
          </w:tcPr>
          <w:p w14:paraId="34A6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50.8</w:t>
            </w:r>
          </w:p>
        </w:tc>
        <w:tc>
          <w:tcPr>
            <w:tcW w:w="1331" w:type="dxa"/>
            <w:noWrap/>
            <w:vAlign w:val="bottom"/>
          </w:tcPr>
          <w:p w14:paraId="58A5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</w:tr>
      <w:tr w14:paraId="4717E3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C1F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 w14:paraId="0410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</w:t>
            </w:r>
          </w:p>
        </w:tc>
        <w:tc>
          <w:tcPr>
            <w:tcW w:w="1275" w:type="dxa"/>
            <w:noWrap/>
            <w:vAlign w:val="bottom"/>
          </w:tcPr>
          <w:p w14:paraId="5623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320" w:type="dxa"/>
            <w:vAlign w:val="bottom"/>
          </w:tcPr>
          <w:p w14:paraId="2B22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320" w:type="dxa"/>
            <w:vAlign w:val="bottom"/>
          </w:tcPr>
          <w:p w14:paraId="5E2E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</w:t>
            </w:r>
          </w:p>
        </w:tc>
        <w:tc>
          <w:tcPr>
            <w:tcW w:w="1331" w:type="dxa"/>
            <w:noWrap/>
            <w:vAlign w:val="bottom"/>
          </w:tcPr>
          <w:p w14:paraId="46C5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-0.5</w:t>
            </w:r>
          </w:p>
        </w:tc>
      </w:tr>
      <w:tr w14:paraId="32884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59E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 w14:paraId="5937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</w:t>
            </w:r>
          </w:p>
        </w:tc>
        <w:tc>
          <w:tcPr>
            <w:tcW w:w="1275" w:type="dxa"/>
            <w:noWrap/>
            <w:vAlign w:val="bottom"/>
          </w:tcPr>
          <w:p w14:paraId="5BFF8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48.7 </w:t>
            </w:r>
          </w:p>
        </w:tc>
        <w:tc>
          <w:tcPr>
            <w:tcW w:w="1320" w:type="dxa"/>
            <w:vAlign w:val="bottom"/>
          </w:tcPr>
          <w:p w14:paraId="7B52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320" w:type="dxa"/>
            <w:vAlign w:val="bottom"/>
          </w:tcPr>
          <w:p w14:paraId="2F93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51.6</w:t>
            </w:r>
          </w:p>
        </w:tc>
        <w:tc>
          <w:tcPr>
            <w:tcW w:w="1331" w:type="dxa"/>
            <w:noWrap/>
            <w:vAlign w:val="bottom"/>
          </w:tcPr>
          <w:p w14:paraId="6A23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09537A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58D0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 w14:paraId="37E7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 </w:t>
            </w:r>
          </w:p>
        </w:tc>
        <w:tc>
          <w:tcPr>
            <w:tcW w:w="1275" w:type="dxa"/>
            <w:noWrap/>
            <w:vAlign w:val="bottom"/>
          </w:tcPr>
          <w:p w14:paraId="05D96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</w:t>
            </w:r>
          </w:p>
        </w:tc>
        <w:tc>
          <w:tcPr>
            <w:tcW w:w="1320" w:type="dxa"/>
            <w:vAlign w:val="bottom"/>
          </w:tcPr>
          <w:p w14:paraId="0994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320" w:type="dxa"/>
            <w:vAlign w:val="bottom"/>
          </w:tcPr>
          <w:p w14:paraId="7E27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</w:t>
            </w:r>
          </w:p>
        </w:tc>
        <w:tc>
          <w:tcPr>
            <w:tcW w:w="1331" w:type="dxa"/>
            <w:noWrap/>
            <w:vAlign w:val="bottom"/>
          </w:tcPr>
          <w:p w14:paraId="7479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-0.6</w:t>
            </w:r>
          </w:p>
        </w:tc>
      </w:tr>
      <w:tr w14:paraId="3CDC59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F84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 w14:paraId="277D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.8</w:t>
            </w:r>
          </w:p>
        </w:tc>
        <w:tc>
          <w:tcPr>
            <w:tcW w:w="1275" w:type="dxa"/>
            <w:noWrap/>
            <w:vAlign w:val="bottom"/>
          </w:tcPr>
          <w:p w14:paraId="6AD5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</w:t>
            </w:r>
          </w:p>
        </w:tc>
        <w:tc>
          <w:tcPr>
            <w:tcW w:w="1320" w:type="dxa"/>
            <w:vAlign w:val="bottom"/>
          </w:tcPr>
          <w:p w14:paraId="737CA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-0.4</w:t>
            </w:r>
          </w:p>
        </w:tc>
        <w:tc>
          <w:tcPr>
            <w:tcW w:w="1320" w:type="dxa"/>
            <w:vAlign w:val="bottom"/>
          </w:tcPr>
          <w:p w14:paraId="64C1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44.3</w:t>
            </w:r>
          </w:p>
        </w:tc>
        <w:tc>
          <w:tcPr>
            <w:tcW w:w="1331" w:type="dxa"/>
            <w:noWrap/>
            <w:vAlign w:val="bottom"/>
          </w:tcPr>
          <w:p w14:paraId="2FC4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</w:tbl>
    <w:p w14:paraId="4AA225C2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表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 xml:space="preserve">1 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202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年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福州市物流业景气指数（LPI）环比、同比变化情况</w:t>
      </w:r>
    </w:p>
    <w:p w14:paraId="5830B9D8">
      <w:pPr>
        <w:numPr>
          <w:ilvl w:val="0"/>
          <w:numId w:val="0"/>
        </w:num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一、物流市场需求快速回升，市场重返景气区间。</w:t>
      </w:r>
      <w:bookmarkStart w:id="1" w:name="OLE_LINK14"/>
      <w:r>
        <w:rPr>
          <w:rFonts w:hint="eastAsia" w:ascii="仿宋_GB2312" w:hAnsi="仿宋" w:eastAsia="仿宋_GB2312"/>
          <w:b w:val="0"/>
          <w:sz w:val="32"/>
          <w:lang w:val="en-US" w:eastAsia="zh-CN"/>
        </w:rPr>
        <w:t xml:space="preserve"> 3月，福州市物流新订单指数为51.7%，较上月回升3.6个百分点，重返荣枯线以上。节后</w:t>
      </w:r>
      <w:bookmarkStart w:id="3" w:name="_GoBack"/>
      <w:bookmarkEnd w:id="3"/>
      <w:r>
        <w:rPr>
          <w:rFonts w:hint="eastAsia" w:ascii="仿宋_GB2312" w:hAnsi="仿宋" w:eastAsia="仿宋_GB2312"/>
          <w:b w:val="0"/>
          <w:sz w:val="32"/>
          <w:highlight w:val="none"/>
          <w:lang w:val="en-US" w:eastAsia="zh-CN"/>
        </w:rPr>
        <w:t>企业生产全面恢复、补库需求集中释放，有效带动全市物流需求稳步回暖。</w:t>
      </w:r>
      <w:r>
        <w:rPr>
          <w:rFonts w:hint="eastAsia" w:ascii="仿宋_GB2312" w:hAnsi="仿宋" w:eastAsia="仿宋_GB2312"/>
          <w:b w:val="0"/>
          <w:sz w:val="32"/>
          <w:lang w:val="en-US" w:eastAsia="zh-CN"/>
        </w:rPr>
        <w:t>分行业看，运输业新订单指数为51.5%，较上月回升2.8个百分点；多式联运和运输代理业新订单指数为56.5%，较上月回升8.3个百分点；装卸搬运和仓储业新订单指数为50.4%，较上月回升6.4个百分点。分A级企业看，5A级企业新订单指数为55.8%，较上月回升10.3个百分点；4A级企业新订单指数为54.3%，较上月回升4.4个百分点；3A级企业新订单指数为51.9%，较上月回升0.3个百分点。</w:t>
      </w:r>
    </w:p>
    <w:p w14:paraId="7601E909">
      <w:pPr>
        <w:jc w:val="center"/>
      </w:pPr>
    </w:p>
    <w:p w14:paraId="7E688656"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drawing>
          <wp:inline distT="0" distB="0" distL="114300" distR="114300">
            <wp:extent cx="5615940" cy="2919095"/>
            <wp:effectExtent l="0" t="0" r="7620" b="698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福州市物流新订单指数图</w:t>
      </w:r>
      <w:bookmarkEnd w:id="1"/>
    </w:p>
    <w:p w14:paraId="054632CE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物流业务总量明显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增长。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3月，福州市物流业务总量指数为53.1%，较上月回升4.4个百分点（见图3）。分行业看，运输业业务总量指数为55.5%，较上月回升2.8个百分点；多式联运和运输代理业业务总量指数为52.0%，较上月回升10.1个百分点；装卸搬运和仓储业业务总量指数为51.2%，较上月回升6.0个百分点。分A级企业看，5A级企业业务总量指数为54.5%，较上月回升7.7个百分点；4A级企业业务总量指数为54.0%，较上月回升3.0个百分点；3A级企业业务总量指数为52.0%，较上月回升2.0个百分点。</w:t>
      </w:r>
    </w:p>
    <w:p w14:paraId="2E71B852">
      <w:pPr>
        <w:widowControl w:val="0"/>
        <w:numPr>
          <w:ilvl w:val="0"/>
          <w:numId w:val="0"/>
        </w:numPr>
        <w:spacing w:line="390" w:lineRule="atLeast"/>
        <w:jc w:val="righ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inline distT="0" distB="0" distL="114300" distR="114300">
            <wp:extent cx="5614670" cy="2366010"/>
            <wp:effectExtent l="4445" t="4445" r="19685" b="698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-6091555</wp:posOffset>
            </wp:positionV>
            <wp:extent cx="5835650" cy="2407285"/>
            <wp:effectExtent l="4445" t="4445" r="12065" b="11430"/>
            <wp:wrapNone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26CE14F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2" w:name="OLE_LINK9"/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2"/>
    </w:p>
    <w:p w14:paraId="59834224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物流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就业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需求快速释放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3月，福州市物流从业人员指数为52.8%，较上月回升4.5个百分点，重返荣枯线以上扩张区间。春节后务工人员集中返岗，企业用工需求快速释放，物流业就业状况明显改善。</w:t>
      </w:r>
    </w:p>
    <w:p w14:paraId="5A87E7BD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资金周转率明显加快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  <w:t>3月，福州市物流资金周转率指数为52.1%，较上月回升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  <w:t>个百分点。企业回款速度明显加快，现金流状况改善，为物流业务正常运转提供支撑。</w:t>
      </w:r>
    </w:p>
    <w:p w14:paraId="0075C592">
      <w:pPr>
        <w:widowControl/>
        <w:spacing w:line="560" w:lineRule="exact"/>
        <w:ind w:firstLine="640" w:firstLineChars="200"/>
        <w:jc w:val="left"/>
        <w:rPr>
          <w:rStyle w:val="8"/>
          <w:rFonts w:hint="eastAsia" w:ascii="仿宋_GB2312" w:hAnsi="Times New Roman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五、物流业经营状况持续改善。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3 月，福州市物流业主营业务成本指数为 53.2%，较上月回升 4.5 个百分点；物流服务价格指数为 49.3%，较上月回落 1.8 个百分点；主营业务利润指数为 46.8%，较上月微降 0.4 个百分点。尽管利润指数仍位于荣枯线以下，但较 2025 年同期提升 2.5 个百分点，改善幅度明显，行业整体经营状况持续向好。</w:t>
      </w:r>
    </w:p>
    <w:p w14:paraId="461B55FF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库存量回升，货物流通效率提高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 3月，福州市物流平均库存量指数为51.8%，较上月回升0.6个百分点，企业节后补库需求释放，重返扩张区间。库存周转次数指数为50.3%，较上月回升2.2个百分点，重回荣枯线以上，流通效率呈现稳步恢复态势。</w:t>
      </w:r>
    </w:p>
    <w:p w14:paraId="1723035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从后期走势看，福州市物流业务活动预期指数为53.2%，较上月回升1.0个百分点，比上年同期下降5.9个百分点，显示企业受油价高启影响，对阶段市场预期保持谨慎乐观，物流行业有望保持稳健运行态势。</w:t>
      </w:r>
    </w:p>
    <w:p w14:paraId="48B227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舒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C8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6C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3XR8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6bddH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6C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5EFD"/>
    <w:rsid w:val="00713735"/>
    <w:rsid w:val="00BA1A55"/>
    <w:rsid w:val="011417D7"/>
    <w:rsid w:val="015C257B"/>
    <w:rsid w:val="01D80BA4"/>
    <w:rsid w:val="02391D70"/>
    <w:rsid w:val="025440E5"/>
    <w:rsid w:val="02E02481"/>
    <w:rsid w:val="047D42E8"/>
    <w:rsid w:val="047D7321"/>
    <w:rsid w:val="048700DD"/>
    <w:rsid w:val="063F75DD"/>
    <w:rsid w:val="064C75F3"/>
    <w:rsid w:val="06A73B15"/>
    <w:rsid w:val="06DF180E"/>
    <w:rsid w:val="06FF7F8B"/>
    <w:rsid w:val="075C3170"/>
    <w:rsid w:val="07846919"/>
    <w:rsid w:val="07ED4390"/>
    <w:rsid w:val="083D71F3"/>
    <w:rsid w:val="08707848"/>
    <w:rsid w:val="08F5187C"/>
    <w:rsid w:val="08F86C2F"/>
    <w:rsid w:val="08FA1588"/>
    <w:rsid w:val="092751AC"/>
    <w:rsid w:val="09BC33B9"/>
    <w:rsid w:val="09DC645D"/>
    <w:rsid w:val="0A1C3564"/>
    <w:rsid w:val="0B471F76"/>
    <w:rsid w:val="0B6B32EB"/>
    <w:rsid w:val="0B86206A"/>
    <w:rsid w:val="0BFA53FB"/>
    <w:rsid w:val="0C457EA5"/>
    <w:rsid w:val="0C620A9F"/>
    <w:rsid w:val="0D2070E4"/>
    <w:rsid w:val="0D6C5EFD"/>
    <w:rsid w:val="0D713294"/>
    <w:rsid w:val="0DE1094B"/>
    <w:rsid w:val="0E2C4896"/>
    <w:rsid w:val="0FBB4634"/>
    <w:rsid w:val="0FFF0F60"/>
    <w:rsid w:val="10ED3781"/>
    <w:rsid w:val="10F62606"/>
    <w:rsid w:val="118E0AC0"/>
    <w:rsid w:val="125C296C"/>
    <w:rsid w:val="12E67D0D"/>
    <w:rsid w:val="12F36642"/>
    <w:rsid w:val="13297B07"/>
    <w:rsid w:val="13391238"/>
    <w:rsid w:val="13634AFE"/>
    <w:rsid w:val="13A435AA"/>
    <w:rsid w:val="13C908A3"/>
    <w:rsid w:val="13CB3006"/>
    <w:rsid w:val="13D55753"/>
    <w:rsid w:val="13DA4490"/>
    <w:rsid w:val="14990155"/>
    <w:rsid w:val="14F11E02"/>
    <w:rsid w:val="14FB646C"/>
    <w:rsid w:val="156C5E06"/>
    <w:rsid w:val="156D47ED"/>
    <w:rsid w:val="158521DA"/>
    <w:rsid w:val="159266A5"/>
    <w:rsid w:val="15983ADE"/>
    <w:rsid w:val="15DD42E8"/>
    <w:rsid w:val="15DE2331"/>
    <w:rsid w:val="16021A7C"/>
    <w:rsid w:val="162559A9"/>
    <w:rsid w:val="16865F0D"/>
    <w:rsid w:val="16B25250"/>
    <w:rsid w:val="16DA0614"/>
    <w:rsid w:val="16E6314C"/>
    <w:rsid w:val="17A80401"/>
    <w:rsid w:val="17EF18DE"/>
    <w:rsid w:val="18A83DA1"/>
    <w:rsid w:val="18F71640"/>
    <w:rsid w:val="193A3C81"/>
    <w:rsid w:val="197B0783"/>
    <w:rsid w:val="19C37B50"/>
    <w:rsid w:val="1A545E15"/>
    <w:rsid w:val="1ADC6D40"/>
    <w:rsid w:val="1AFA5418"/>
    <w:rsid w:val="1AFF658A"/>
    <w:rsid w:val="1B7504FB"/>
    <w:rsid w:val="1B837749"/>
    <w:rsid w:val="1C2353DB"/>
    <w:rsid w:val="1C954CD6"/>
    <w:rsid w:val="1CCD7893"/>
    <w:rsid w:val="1CEE431C"/>
    <w:rsid w:val="1DAB54D4"/>
    <w:rsid w:val="1E026ABD"/>
    <w:rsid w:val="1E32372A"/>
    <w:rsid w:val="1EAF2075"/>
    <w:rsid w:val="1F737547"/>
    <w:rsid w:val="1FAA2D95"/>
    <w:rsid w:val="1FAA3E59"/>
    <w:rsid w:val="20BF6730"/>
    <w:rsid w:val="20F51AAC"/>
    <w:rsid w:val="211865F8"/>
    <w:rsid w:val="21300795"/>
    <w:rsid w:val="213C2203"/>
    <w:rsid w:val="21556A3C"/>
    <w:rsid w:val="2189430E"/>
    <w:rsid w:val="22393D7A"/>
    <w:rsid w:val="22BC0F7A"/>
    <w:rsid w:val="22FA5350"/>
    <w:rsid w:val="23997AF8"/>
    <w:rsid w:val="250550E5"/>
    <w:rsid w:val="25255B79"/>
    <w:rsid w:val="25DF1492"/>
    <w:rsid w:val="26310260"/>
    <w:rsid w:val="268553B8"/>
    <w:rsid w:val="26E4308C"/>
    <w:rsid w:val="2705317A"/>
    <w:rsid w:val="270F3FF9"/>
    <w:rsid w:val="279336AF"/>
    <w:rsid w:val="279A10BA"/>
    <w:rsid w:val="284B3B4E"/>
    <w:rsid w:val="29B61007"/>
    <w:rsid w:val="29C9048F"/>
    <w:rsid w:val="29E96D83"/>
    <w:rsid w:val="2A0B548E"/>
    <w:rsid w:val="2A0F651F"/>
    <w:rsid w:val="2A516ABF"/>
    <w:rsid w:val="2AB1708B"/>
    <w:rsid w:val="2AE61515"/>
    <w:rsid w:val="2B696EC7"/>
    <w:rsid w:val="2C0F4464"/>
    <w:rsid w:val="2C163734"/>
    <w:rsid w:val="2C5520AD"/>
    <w:rsid w:val="2C9A46EE"/>
    <w:rsid w:val="2CE45F28"/>
    <w:rsid w:val="2DD04C09"/>
    <w:rsid w:val="2E1F2D74"/>
    <w:rsid w:val="2E267642"/>
    <w:rsid w:val="2E4C38E0"/>
    <w:rsid w:val="2E6868C1"/>
    <w:rsid w:val="2E7F4C18"/>
    <w:rsid w:val="2EE11754"/>
    <w:rsid w:val="2F0C3072"/>
    <w:rsid w:val="2F222A6F"/>
    <w:rsid w:val="2F8D311D"/>
    <w:rsid w:val="2FA73070"/>
    <w:rsid w:val="2FE6029E"/>
    <w:rsid w:val="30075E17"/>
    <w:rsid w:val="301A3A2B"/>
    <w:rsid w:val="31082941"/>
    <w:rsid w:val="3115268D"/>
    <w:rsid w:val="311F205E"/>
    <w:rsid w:val="315C2214"/>
    <w:rsid w:val="31BB14B0"/>
    <w:rsid w:val="31C32295"/>
    <w:rsid w:val="323F1C36"/>
    <w:rsid w:val="330E112E"/>
    <w:rsid w:val="33291F9F"/>
    <w:rsid w:val="34313801"/>
    <w:rsid w:val="34A22009"/>
    <w:rsid w:val="34FF194B"/>
    <w:rsid w:val="35514B48"/>
    <w:rsid w:val="35584DBD"/>
    <w:rsid w:val="36A07989"/>
    <w:rsid w:val="38361BA7"/>
    <w:rsid w:val="385B438D"/>
    <w:rsid w:val="38980F5B"/>
    <w:rsid w:val="38DB4152"/>
    <w:rsid w:val="3923517F"/>
    <w:rsid w:val="393D07AF"/>
    <w:rsid w:val="399A5B82"/>
    <w:rsid w:val="39BA58C5"/>
    <w:rsid w:val="39ED73DC"/>
    <w:rsid w:val="3A233A7B"/>
    <w:rsid w:val="3B280154"/>
    <w:rsid w:val="3BB87FA3"/>
    <w:rsid w:val="3C18637C"/>
    <w:rsid w:val="3C6E55FB"/>
    <w:rsid w:val="3C7C5835"/>
    <w:rsid w:val="3C8A0418"/>
    <w:rsid w:val="3D7F13EA"/>
    <w:rsid w:val="3DA44BB4"/>
    <w:rsid w:val="3DB70E38"/>
    <w:rsid w:val="3DCF5798"/>
    <w:rsid w:val="3F127EC1"/>
    <w:rsid w:val="3F140C48"/>
    <w:rsid w:val="3F8844F1"/>
    <w:rsid w:val="3FFA41C5"/>
    <w:rsid w:val="412B797C"/>
    <w:rsid w:val="414925C8"/>
    <w:rsid w:val="41B74B29"/>
    <w:rsid w:val="41B8730F"/>
    <w:rsid w:val="41C31810"/>
    <w:rsid w:val="42D83794"/>
    <w:rsid w:val="42FF0328"/>
    <w:rsid w:val="43487B44"/>
    <w:rsid w:val="441B1EAF"/>
    <w:rsid w:val="44F87C5C"/>
    <w:rsid w:val="453C676D"/>
    <w:rsid w:val="453E5A07"/>
    <w:rsid w:val="45616703"/>
    <w:rsid w:val="458D460F"/>
    <w:rsid w:val="46274A64"/>
    <w:rsid w:val="4659738D"/>
    <w:rsid w:val="46760BF4"/>
    <w:rsid w:val="46E5428C"/>
    <w:rsid w:val="471E22FD"/>
    <w:rsid w:val="47347E28"/>
    <w:rsid w:val="476B3A03"/>
    <w:rsid w:val="47C46D2D"/>
    <w:rsid w:val="47D318F9"/>
    <w:rsid w:val="47E20C23"/>
    <w:rsid w:val="47F768F3"/>
    <w:rsid w:val="480E193A"/>
    <w:rsid w:val="481F17E3"/>
    <w:rsid w:val="486B0882"/>
    <w:rsid w:val="48D95EDE"/>
    <w:rsid w:val="49A81A17"/>
    <w:rsid w:val="49E30645"/>
    <w:rsid w:val="4A720527"/>
    <w:rsid w:val="4AA2290B"/>
    <w:rsid w:val="4AF30348"/>
    <w:rsid w:val="4B283516"/>
    <w:rsid w:val="4B452904"/>
    <w:rsid w:val="4BA754D9"/>
    <w:rsid w:val="4BCA04E6"/>
    <w:rsid w:val="4BEB0728"/>
    <w:rsid w:val="4C0663D6"/>
    <w:rsid w:val="4C7A7363"/>
    <w:rsid w:val="4CD7378D"/>
    <w:rsid w:val="4D1B3CC8"/>
    <w:rsid w:val="4E28581D"/>
    <w:rsid w:val="4E726A98"/>
    <w:rsid w:val="4F1424DD"/>
    <w:rsid w:val="4F20556A"/>
    <w:rsid w:val="4F7A3E56"/>
    <w:rsid w:val="4FD23C92"/>
    <w:rsid w:val="506D0556"/>
    <w:rsid w:val="509074BA"/>
    <w:rsid w:val="50A732D4"/>
    <w:rsid w:val="50B040E7"/>
    <w:rsid w:val="51366D87"/>
    <w:rsid w:val="51BD75C6"/>
    <w:rsid w:val="52020133"/>
    <w:rsid w:val="52114FFA"/>
    <w:rsid w:val="52251F91"/>
    <w:rsid w:val="528E1C15"/>
    <w:rsid w:val="5325232B"/>
    <w:rsid w:val="533E33EC"/>
    <w:rsid w:val="545A3C3A"/>
    <w:rsid w:val="5475005A"/>
    <w:rsid w:val="54D77655"/>
    <w:rsid w:val="559E5CAD"/>
    <w:rsid w:val="561D378D"/>
    <w:rsid w:val="562E599A"/>
    <w:rsid w:val="567E71F5"/>
    <w:rsid w:val="568069BE"/>
    <w:rsid w:val="56B30A13"/>
    <w:rsid w:val="56CD1E74"/>
    <w:rsid w:val="56EBDAFC"/>
    <w:rsid w:val="56EC2E0B"/>
    <w:rsid w:val="57087F99"/>
    <w:rsid w:val="575C2093"/>
    <w:rsid w:val="578B5303"/>
    <w:rsid w:val="57AE5CC6"/>
    <w:rsid w:val="58771F47"/>
    <w:rsid w:val="587D4DD8"/>
    <w:rsid w:val="597204CD"/>
    <w:rsid w:val="59BA1CCC"/>
    <w:rsid w:val="59BF6E96"/>
    <w:rsid w:val="59CD7278"/>
    <w:rsid w:val="59E321E9"/>
    <w:rsid w:val="5A177769"/>
    <w:rsid w:val="5A4E1134"/>
    <w:rsid w:val="5AE109BE"/>
    <w:rsid w:val="5B0B62AA"/>
    <w:rsid w:val="5B22280C"/>
    <w:rsid w:val="5B231846"/>
    <w:rsid w:val="5B3D79EE"/>
    <w:rsid w:val="5B4B0B25"/>
    <w:rsid w:val="5B9938B6"/>
    <w:rsid w:val="5BC77895"/>
    <w:rsid w:val="5BDA07B4"/>
    <w:rsid w:val="5D6B4B91"/>
    <w:rsid w:val="5DDF315C"/>
    <w:rsid w:val="5F2C7D68"/>
    <w:rsid w:val="5F39195F"/>
    <w:rsid w:val="5FDD96B9"/>
    <w:rsid w:val="601305E4"/>
    <w:rsid w:val="60ED0765"/>
    <w:rsid w:val="611D44F1"/>
    <w:rsid w:val="61C61054"/>
    <w:rsid w:val="622D6B06"/>
    <w:rsid w:val="62397900"/>
    <w:rsid w:val="625A3109"/>
    <w:rsid w:val="62E018F9"/>
    <w:rsid w:val="63196698"/>
    <w:rsid w:val="63433810"/>
    <w:rsid w:val="637F291A"/>
    <w:rsid w:val="63AF02F1"/>
    <w:rsid w:val="64B74DAD"/>
    <w:rsid w:val="65595AB0"/>
    <w:rsid w:val="65772B2E"/>
    <w:rsid w:val="658905E5"/>
    <w:rsid w:val="6640680E"/>
    <w:rsid w:val="665729A3"/>
    <w:rsid w:val="667B5A46"/>
    <w:rsid w:val="67286FDE"/>
    <w:rsid w:val="674A631B"/>
    <w:rsid w:val="67AD1D1A"/>
    <w:rsid w:val="67DC5FBE"/>
    <w:rsid w:val="67E805F3"/>
    <w:rsid w:val="67EF3E96"/>
    <w:rsid w:val="6861575B"/>
    <w:rsid w:val="68D9433D"/>
    <w:rsid w:val="69331556"/>
    <w:rsid w:val="696848C8"/>
    <w:rsid w:val="6981433F"/>
    <w:rsid w:val="69981439"/>
    <w:rsid w:val="69C243A3"/>
    <w:rsid w:val="6AA1366C"/>
    <w:rsid w:val="6AB91291"/>
    <w:rsid w:val="6B5C5C1E"/>
    <w:rsid w:val="6C04774A"/>
    <w:rsid w:val="6CB00A5F"/>
    <w:rsid w:val="6CC11EE3"/>
    <w:rsid w:val="6D801E32"/>
    <w:rsid w:val="6E922B12"/>
    <w:rsid w:val="6E9D089E"/>
    <w:rsid w:val="6EE64C0C"/>
    <w:rsid w:val="6F9D3433"/>
    <w:rsid w:val="6FCA2F7A"/>
    <w:rsid w:val="6FEF7AF1"/>
    <w:rsid w:val="70607345"/>
    <w:rsid w:val="706758D9"/>
    <w:rsid w:val="70CF58E0"/>
    <w:rsid w:val="719D3914"/>
    <w:rsid w:val="71F25CB4"/>
    <w:rsid w:val="720553A9"/>
    <w:rsid w:val="721F557F"/>
    <w:rsid w:val="72A157FD"/>
    <w:rsid w:val="72E42950"/>
    <w:rsid w:val="7367736B"/>
    <w:rsid w:val="736A3C93"/>
    <w:rsid w:val="73F52BF8"/>
    <w:rsid w:val="74BF4D9A"/>
    <w:rsid w:val="74DB6895"/>
    <w:rsid w:val="74E66770"/>
    <w:rsid w:val="758F7D6B"/>
    <w:rsid w:val="75C850AF"/>
    <w:rsid w:val="77B86EDF"/>
    <w:rsid w:val="77D71AEC"/>
    <w:rsid w:val="78CD72FF"/>
    <w:rsid w:val="78EA72AD"/>
    <w:rsid w:val="78EF60BC"/>
    <w:rsid w:val="79620369"/>
    <w:rsid w:val="7A2902FC"/>
    <w:rsid w:val="7A5F5716"/>
    <w:rsid w:val="7A9A5606"/>
    <w:rsid w:val="7ABBFEE9"/>
    <w:rsid w:val="7B5952C8"/>
    <w:rsid w:val="7BCC4583"/>
    <w:rsid w:val="7BDBB1F5"/>
    <w:rsid w:val="7C362A21"/>
    <w:rsid w:val="7C840AEA"/>
    <w:rsid w:val="7CB04D76"/>
    <w:rsid w:val="7CE76881"/>
    <w:rsid w:val="7D6516EC"/>
    <w:rsid w:val="7D910D10"/>
    <w:rsid w:val="7DAF1515"/>
    <w:rsid w:val="7E01736D"/>
    <w:rsid w:val="7E2D26D0"/>
    <w:rsid w:val="7E3E138B"/>
    <w:rsid w:val="7F0B79EB"/>
    <w:rsid w:val="7F2D6CDA"/>
    <w:rsid w:val="7F676157"/>
    <w:rsid w:val="7F9DF0A7"/>
    <w:rsid w:val="7FA263D1"/>
    <w:rsid w:val="7FAA7D13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8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31119;&#24030;&#24066;&#29289;&#27969;&#26223;&#27668;&#25351;&#25968;&#65288;LPI&#65289;&#22522;&#30784;&#25968;&#25454;2021-2025&#65288;2025&#24180;01-12&#26376;&#65289;.2026042310351753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Desktop\&#31119;&#24030;&#24066;&#29289;&#27969;&#26223;&#27668;&#25351;&#25968;&#65288;LPI&#65289;&#22522;&#30784;&#25968;&#25454;2021-2025&#65288;2025&#24180;01-12&#26376;&#65289;.2026042310351753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31119;&#24030;&#24066;&#29289;&#27969;&#26223;&#27668;&#25351;&#25968;&#65288;LPI&#65289;&#22522;&#30784;&#25968;&#25454;2021-2025&#65288;2025&#24180;01-12&#26376;&#65289;.2026042310351753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40393981133598"/>
          <c:y val="0.0899763220205209"/>
          <c:w val="0.87896636916019"/>
          <c:h val="0.583425414364641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'[福州市物流景气指数（LPI）基础数据2021-2025（2025年01-12月）.20260423103517532.xlsx]景气值指数（2024-2025）'!$P$2:$AC$2</c15:sqref>
                  </c15:fullRef>
                </c:ext>
              </c:extLst>
              <c:f>'[福州市物流景气指数（LPI）基础数据2021-2025（2025年01-12月）.20260423103517532.xlsx]景气值指数（2024-2025）'!$Q$2:$AC$2</c:f>
              <c:numCache>
                <c:formatCode>yyyy"年"m"月"</c:formatCode>
                <c:ptCount val="13"/>
                <c:pt idx="0" c:formatCode="yyyy&quot;年&quot;m&quot;月&quot;">
                  <c:v>45717</c:v>
                </c:pt>
                <c:pt idx="1" c:formatCode="yyyy&quot;年&quot;m&quot;月&quot;">
                  <c:v>45748</c:v>
                </c:pt>
                <c:pt idx="2" c:formatCode="yyyy&quot;年&quot;m&quot;月&quot;">
                  <c:v>45778</c:v>
                </c:pt>
                <c:pt idx="3" c:formatCode="yyyy&quot;年&quot;m&quot;月&quot;">
                  <c:v>45810</c:v>
                </c:pt>
                <c:pt idx="4" c:formatCode="yyyy&quot;年&quot;m&quot;月&quot;">
                  <c:v>45841</c:v>
                </c:pt>
                <c:pt idx="5" c:formatCode="yyyy&quot;年&quot;m&quot;月&quot;">
                  <c:v>45873</c:v>
                </c:pt>
                <c:pt idx="6" c:formatCode="yyyy&quot;年&quot;m&quot;月&quot;">
                  <c:v>45901</c:v>
                </c:pt>
                <c:pt idx="7" c:formatCode="yyyy&quot;年&quot;m&quot;月&quot;">
                  <c:v>45959</c:v>
                </c:pt>
                <c:pt idx="8" c:formatCode="yyyy&quot;年&quot;m&quot;月&quot;">
                  <c:v>45990</c:v>
                </c:pt>
                <c:pt idx="9" c:formatCode="yyyy&quot;年&quot;m&quot;月&quot;">
                  <c:v>46020</c:v>
                </c:pt>
                <c:pt idx="10" c:formatCode="yyyy&quot;年&quot;m&quot;月&quot;">
                  <c:v>46051</c:v>
                </c:pt>
                <c:pt idx="11" c:formatCode="yyyy&quot;年&quot;m&quot;月&quot;">
                  <c:v>46081</c:v>
                </c:pt>
                <c:pt idx="12" c:formatCode="yyyy&quot;年&quot;m&quot;月&quot;">
                  <c:v>46110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'景气值指数（2024-2025）'!$P$3:$AC$3</c15:sqref>
                  </c15:fullRef>
                </c:ext>
              </c:extLst>
              <c:f>'[福州市物流景气指数（LPI）基础数据2021-2025（2025年01-12月）.20260423103517532.xlsx]景气值指数（2024-2025）'!$Q$3:$AC$3</c:f>
              <c:numCache>
                <c:formatCode>General</c:formatCode>
                <c:ptCount val="13"/>
                <c:pt idx="0">
                  <c:v>52.3</c:v>
                </c:pt>
                <c:pt idx="1" c:formatCode="0.0_ ">
                  <c:v>52</c:v>
                </c:pt>
                <c:pt idx="2">
                  <c:v>51.2</c:v>
                </c:pt>
                <c:pt idx="3" c:formatCode="0.0">
                  <c:v>51</c:v>
                </c:pt>
                <c:pt idx="4" c:formatCode="0.0">
                  <c:v>50.68</c:v>
                </c:pt>
                <c:pt idx="5">
                  <c:v>51.2</c:v>
                </c:pt>
                <c:pt idx="6">
                  <c:v>52.8</c:v>
                </c:pt>
                <c:pt idx="7">
                  <c:v>52.4</c:v>
                </c:pt>
                <c:pt idx="8">
                  <c:v>52.7</c:v>
                </c:pt>
                <c:pt idx="9">
                  <c:v>54.1</c:v>
                </c:pt>
                <c:pt idx="10">
                  <c:v>52.1</c:v>
                </c:pt>
                <c:pt idx="11">
                  <c:v>48.4</c:v>
                </c:pt>
                <c:pt idx="12">
                  <c:v>52.7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152"/>
        <c:axId val="118368512"/>
      </c:lineChart>
      <c:dateAx>
        <c:axId val="118449152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1"/>
        <c:lblOffset val="100"/>
        <c:baseTimeUnit val="months"/>
      </c:dateAx>
      <c:valAx>
        <c:axId val="1183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a347412-234e-439c-9e5c-f40d4f4f4098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59492944381869"/>
          <c:y val="0.0863687946058191"/>
          <c:w val="0.895284229073611"/>
          <c:h val="0.65344352617079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'[福州市物流景气指数（LPI）基础数据2021-2025（2025年01-12月）.20260423103517532.xlsx]景气值指数（2024-2025）'!$Q$2:$AC$2</c:f>
              <c:numCache>
                <c:formatCode>yyyy"年"m"月"</c:formatCode>
                <c:ptCount val="13"/>
                <c:pt idx="0" c:formatCode="yyyy&quot;年&quot;m&quot;月&quot;">
                  <c:v>45717</c:v>
                </c:pt>
                <c:pt idx="1" c:formatCode="yyyy&quot;年&quot;m&quot;月&quot;">
                  <c:v>45748</c:v>
                </c:pt>
                <c:pt idx="2" c:formatCode="yyyy&quot;年&quot;m&quot;月&quot;">
                  <c:v>45778</c:v>
                </c:pt>
                <c:pt idx="3" c:formatCode="yyyy&quot;年&quot;m&quot;月&quot;">
                  <c:v>45810</c:v>
                </c:pt>
                <c:pt idx="4" c:formatCode="yyyy&quot;年&quot;m&quot;月&quot;">
                  <c:v>45841</c:v>
                </c:pt>
                <c:pt idx="5" c:formatCode="yyyy&quot;年&quot;m&quot;月&quot;">
                  <c:v>45873</c:v>
                </c:pt>
                <c:pt idx="6" c:formatCode="yyyy&quot;年&quot;m&quot;月&quot;">
                  <c:v>45901</c:v>
                </c:pt>
                <c:pt idx="7" c:formatCode="yyyy&quot;年&quot;m&quot;月&quot;">
                  <c:v>45959</c:v>
                </c:pt>
                <c:pt idx="8" c:formatCode="yyyy&quot;年&quot;m&quot;月&quot;">
                  <c:v>45990</c:v>
                </c:pt>
                <c:pt idx="9" c:formatCode="yyyy&quot;年&quot;m&quot;月&quot;">
                  <c:v>46020</c:v>
                </c:pt>
                <c:pt idx="10" c:formatCode="yyyy&quot;年&quot;m&quot;月&quot;">
                  <c:v>46051</c:v>
                </c:pt>
                <c:pt idx="11" c:formatCode="yyyy&quot;年&quot;m&quot;月&quot;">
                  <c:v>46081</c:v>
                </c:pt>
                <c:pt idx="12" c:formatCode="yyyy&quot;年&quot;m&quot;月&quot;">
                  <c:v>46110</c:v>
                </c:pt>
              </c:numCache>
            </c:numRef>
          </c:cat>
          <c:val>
            <c:numRef>
              <c:f>'[福州市物流景气指数（LPI）基础数据2021-2025（2025年01-12月）.20260423103517532.xlsx]景气值指数（2024-2025）'!$Q$12:$AC$12</c:f>
              <c:numCache>
                <c:formatCode>General</c:formatCode>
                <c:ptCount val="13"/>
                <c:pt idx="0">
                  <c:v>52.2</c:v>
                </c:pt>
                <c:pt idx="1">
                  <c:v>51.7</c:v>
                </c:pt>
                <c:pt idx="2">
                  <c:v>50.3</c:v>
                </c:pt>
                <c:pt idx="3">
                  <c:v>50.2</c:v>
                </c:pt>
                <c:pt idx="4">
                  <c:v>50.5</c:v>
                </c:pt>
                <c:pt idx="5">
                  <c:v>50.8</c:v>
                </c:pt>
                <c:pt idx="6">
                  <c:v>52.3</c:v>
                </c:pt>
                <c:pt idx="7">
                  <c:v>51.9</c:v>
                </c:pt>
                <c:pt idx="8">
                  <c:v>52.5</c:v>
                </c:pt>
                <c:pt idx="9">
                  <c:v>54.1</c:v>
                </c:pt>
                <c:pt idx="10">
                  <c:v>50.8</c:v>
                </c:pt>
                <c:pt idx="11">
                  <c:v>48.1</c:v>
                </c:pt>
                <c:pt idx="12">
                  <c:v>51.7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8128"/>
        <c:axId val="118366784"/>
      </c:lineChart>
      <c:dateAx>
        <c:axId val="118448128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1"/>
        <c:lblOffset val="100"/>
        <c:baseTimeUnit val="months"/>
      </c:dateAx>
      <c:valAx>
        <c:axId val="1183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2c7151c-dd26-491b-8dcd-cc75c263c400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870998081444"/>
          <c:y val="0.155475021205937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'[福州市物流景气指数（LPI）基础数据2021-2025（2025年01-12月）.20260423103517532.xlsx]景气值指数（2024-2025）'!$Q$2:$AC$2</c:f>
              <c:numCache>
                <c:formatCode>yyyy"年"m"月"</c:formatCode>
                <c:ptCount val="13"/>
                <c:pt idx="0" c:formatCode="yyyy&quot;年&quot;m&quot;月&quot;">
                  <c:v>45717</c:v>
                </c:pt>
                <c:pt idx="1" c:formatCode="yyyy&quot;年&quot;m&quot;月&quot;">
                  <c:v>45748</c:v>
                </c:pt>
                <c:pt idx="2" c:formatCode="yyyy&quot;年&quot;m&quot;月&quot;">
                  <c:v>45778</c:v>
                </c:pt>
                <c:pt idx="3" c:formatCode="yyyy&quot;年&quot;m&quot;月&quot;">
                  <c:v>45810</c:v>
                </c:pt>
                <c:pt idx="4" c:formatCode="yyyy&quot;年&quot;m&quot;月&quot;">
                  <c:v>45841</c:v>
                </c:pt>
                <c:pt idx="5" c:formatCode="yyyy&quot;年&quot;m&quot;月&quot;">
                  <c:v>45873</c:v>
                </c:pt>
                <c:pt idx="6" c:formatCode="yyyy&quot;年&quot;m&quot;月&quot;">
                  <c:v>45901</c:v>
                </c:pt>
                <c:pt idx="7" c:formatCode="yyyy&quot;年&quot;m&quot;月&quot;">
                  <c:v>45959</c:v>
                </c:pt>
                <c:pt idx="8" c:formatCode="yyyy&quot;年&quot;m&quot;月&quot;">
                  <c:v>45990</c:v>
                </c:pt>
                <c:pt idx="9" c:formatCode="yyyy&quot;年&quot;m&quot;月&quot;">
                  <c:v>46020</c:v>
                </c:pt>
                <c:pt idx="10" c:formatCode="yyyy&quot;年&quot;m&quot;月&quot;">
                  <c:v>46051</c:v>
                </c:pt>
                <c:pt idx="11" c:formatCode="yyyy&quot;年&quot;m&quot;月&quot;">
                  <c:v>46081</c:v>
                </c:pt>
                <c:pt idx="12" c:formatCode="yyyy&quot;年&quot;m&quot;月&quot;">
                  <c:v>46110</c:v>
                </c:pt>
              </c:numCache>
            </c:numRef>
          </c:cat>
          <c:val>
            <c:numRef>
              <c:f>'[福州市物流景气指数（LPI）基础数据2021-2025（2025年01-12月）.20260423103517532.xlsx]景气值指数（2024-2025）'!$Q$13:$AC$13</c:f>
              <c:numCache>
                <c:formatCode>General</c:formatCode>
                <c:ptCount val="13"/>
                <c:pt idx="0">
                  <c:v>51.6</c:v>
                </c:pt>
                <c:pt idx="1">
                  <c:v>50.4</c:v>
                </c:pt>
                <c:pt idx="2">
                  <c:v>51.8</c:v>
                </c:pt>
                <c:pt idx="3">
                  <c:v>51.3</c:v>
                </c:pt>
                <c:pt idx="4">
                  <c:v>50.2</c:v>
                </c:pt>
                <c:pt idx="5">
                  <c:v>50.5</c:v>
                </c:pt>
                <c:pt idx="6">
                  <c:v>53.4</c:v>
                </c:pt>
                <c:pt idx="7">
                  <c:v>52.3</c:v>
                </c:pt>
                <c:pt idx="8">
                  <c:v>52.4</c:v>
                </c:pt>
                <c:pt idx="9">
                  <c:v>53.5</c:v>
                </c:pt>
                <c:pt idx="10">
                  <c:v>52.3</c:v>
                </c:pt>
                <c:pt idx="11">
                  <c:v>48.7</c:v>
                </c:pt>
                <c:pt idx="12">
                  <c:v>53.1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19402744775"/>
          <c:y val="0.153217684862822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'[福州市物流景气指数（LPI）基础数据2021-2025（2025年01-12月）.xlsx]景气值指数（2024-2025）'!$P$2:$AB$2</c:f>
              <c:numCache>
                <c:formatCode>yyyy"年"m"月"</c:formatCode>
                <c:ptCount val="13"/>
                <c:pt idx="0" c:formatCode="yyyy&quot;年&quot;m&quot;月&quot;">
                  <c:v>45689</c:v>
                </c:pt>
                <c:pt idx="1" c:formatCode="yyyy&quot;年&quot;m&quot;月&quot;">
                  <c:v>45717</c:v>
                </c:pt>
                <c:pt idx="2" c:formatCode="yyyy&quot;年&quot;m&quot;月&quot;">
                  <c:v>45748</c:v>
                </c:pt>
                <c:pt idx="3" c:formatCode="yyyy&quot;年&quot;m&quot;月&quot;">
                  <c:v>45778</c:v>
                </c:pt>
                <c:pt idx="4" c:formatCode="yyyy&quot;年&quot;m&quot;月&quot;">
                  <c:v>45810</c:v>
                </c:pt>
                <c:pt idx="5" c:formatCode="yyyy&quot;年&quot;m&quot;月&quot;">
                  <c:v>45841</c:v>
                </c:pt>
                <c:pt idx="6" c:formatCode="yyyy&quot;年&quot;m&quot;月&quot;">
                  <c:v>45873</c:v>
                </c:pt>
                <c:pt idx="7" c:formatCode="yyyy&quot;年&quot;m&quot;月&quot;">
                  <c:v>45901</c:v>
                </c:pt>
                <c:pt idx="8" c:formatCode="yyyy&quot;年&quot;m&quot;月&quot;">
                  <c:v>45959</c:v>
                </c:pt>
                <c:pt idx="9" c:formatCode="yyyy&quot;年&quot;m&quot;月&quot;">
                  <c:v>45990</c:v>
                </c:pt>
                <c:pt idx="10" c:formatCode="yyyy&quot;年&quot;m&quot;月&quot;">
                  <c:v>46020</c:v>
                </c:pt>
                <c:pt idx="11" c:formatCode="yyyy&quot;年&quot;m&quot;月&quot;">
                  <c:v>46051</c:v>
                </c:pt>
                <c:pt idx="12" c:formatCode="yyyy&quot;年&quot;m&quot;月&quot;">
                  <c:v>46081</c:v>
                </c:pt>
              </c:numCache>
            </c:numRef>
          </c:cat>
          <c:val>
            <c:numRef>
              <c:f>'[福州市物流景气指数（LPI）基础数据2021-2025（2025年01-12月）.xlsx]景气值指数（2024-2025）'!$P$13:$AB$13</c:f>
              <c:numCache>
                <c:formatCode>General</c:formatCode>
                <c:ptCount val="13"/>
                <c:pt idx="0">
                  <c:v>50.5</c:v>
                </c:pt>
                <c:pt idx="1">
                  <c:v>51.6</c:v>
                </c:pt>
                <c:pt idx="2">
                  <c:v>50.4</c:v>
                </c:pt>
                <c:pt idx="3">
                  <c:v>51.8</c:v>
                </c:pt>
                <c:pt idx="4">
                  <c:v>51.3</c:v>
                </c:pt>
                <c:pt idx="5">
                  <c:v>50.2</c:v>
                </c:pt>
                <c:pt idx="6">
                  <c:v>50.5</c:v>
                </c:pt>
                <c:pt idx="7">
                  <c:v>53.4</c:v>
                </c:pt>
                <c:pt idx="8">
                  <c:v>52.3</c:v>
                </c:pt>
                <c:pt idx="9">
                  <c:v>52.4</c:v>
                </c:pt>
                <c:pt idx="10">
                  <c:v>53.5</c:v>
                </c:pt>
                <c:pt idx="11">
                  <c:v>52.3</c:v>
                </c:pt>
                <c:pt idx="12">
                  <c:v>48.7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1463</Words>
  <Characters>1854</Characters>
  <Lines>0</Lines>
  <Paragraphs>0</Paragraphs>
  <TotalTime>23</TotalTime>
  <ScaleCrop>false</ScaleCrop>
  <LinksUpToDate>false</LinksUpToDate>
  <CharactersWithSpaces>1886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2025-05-31T19:40:00Z</dcterms:created>
  <dc:creator>WPS_1675910448</dc:creator>
  <cp:lastModifiedBy>郑亚议</cp:lastModifiedBy>
  <cp:lastPrinted>2025-12-26T19:57:00Z</cp:lastPrinted>
  <dcterms:modified xsi:type="dcterms:W3CDTF">2026-05-15T09:09:28Z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62350C684FA24462834CCA8CD2667DB5_13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