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95BD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1月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份福州市物流业景气指数（LPI）情况</w:t>
      </w:r>
      <w:bookmarkEnd w:id="0"/>
    </w:p>
    <w:p w14:paraId="20E6FE40">
      <w:pPr>
        <w:spacing w:line="560" w:lineRule="exact"/>
        <w:ind w:firstLine="640" w:firstLineChars="200"/>
        <w:rPr>
          <w:rFonts w:ascii="仿宋_GB2312" w:hAnsi="Times New Roman" w:eastAsia="舒体"/>
          <w:sz w:val="32"/>
          <w:szCs w:val="32"/>
        </w:rPr>
      </w:pPr>
    </w:p>
    <w:p w14:paraId="0EDC6FD3">
      <w:pPr>
        <w:widowControl/>
        <w:spacing w:line="560" w:lineRule="exact"/>
        <w:ind w:firstLine="640" w:firstLineChars="200"/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 w:val="0"/>
          <w:sz w:val="32"/>
          <w:lang w:val="en-US" w:eastAsia="zh-CN"/>
        </w:rPr>
        <w:t>1月，福州市物流业景气指数为52.1%，较上月回落2.0个百分点，呈现小幅回调状态（见图1）。12个单项指数呈现“四升一平七降”。其中：固定资产投资完成额、平均库存量、资金周转率、主营业务利润等四项指数有所回升，上升幅度为0.4%至1.7%之间；库存周转次数、业务活动预期、物流服务价格、设备利用率、从业人员、新订单（客户需求）、业务总量等七项指数较上月呈现0.1%至3.3%之间不同程度回落；主营业务成本指数与上月持平。</w:t>
      </w:r>
    </w:p>
    <w:p w14:paraId="2213F2A2">
      <w:pPr>
        <w:widowControl/>
        <w:spacing w:line="560" w:lineRule="exact"/>
        <w:ind w:firstLine="420" w:firstLineChars="200"/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215900</wp:posOffset>
            </wp:positionV>
            <wp:extent cx="5874385" cy="2466975"/>
            <wp:effectExtent l="0" t="0" r="8255" b="1905"/>
            <wp:wrapNone/>
            <wp:docPr id="7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14:paraId="68796EA6">
      <w:pPr>
        <w:widowControl/>
        <w:spacing w:line="560" w:lineRule="exact"/>
        <w:ind w:firstLine="640" w:firstLineChars="200"/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  <w:lang w:val="en-US" w:eastAsia="zh-CN"/>
        </w:rPr>
      </w:pPr>
    </w:p>
    <w:p w14:paraId="2579C74E">
      <w:pPr>
        <w:widowControl/>
        <w:spacing w:line="560" w:lineRule="exact"/>
        <w:ind w:firstLine="640" w:firstLineChars="200"/>
        <w:rPr>
          <w:rFonts w:hint="eastAsia" w:ascii="仿宋_GB2312" w:hAnsi="仿宋" w:eastAsia="仿宋_GB2312"/>
          <w:b w:val="0"/>
          <w:bCs w:val="0"/>
          <w:kern w:val="2"/>
          <w:sz w:val="32"/>
          <w:szCs w:val="32"/>
          <w:lang w:val="en-US" w:eastAsia="zh-CN"/>
        </w:rPr>
      </w:pPr>
    </w:p>
    <w:p w14:paraId="1B28DB1E">
      <w:pPr>
        <w:widowControl/>
        <w:spacing w:line="560" w:lineRule="exact"/>
        <w:ind w:firstLine="420" w:firstLineChars="200"/>
      </w:pPr>
    </w:p>
    <w:p w14:paraId="6FF56CC6">
      <w:pPr>
        <w:widowControl/>
        <w:spacing w:line="560" w:lineRule="exact"/>
        <w:ind w:firstLine="420" w:firstLineChars="200"/>
      </w:pPr>
    </w:p>
    <w:p w14:paraId="490F3E56">
      <w:pPr>
        <w:widowControl/>
        <w:spacing w:line="560" w:lineRule="exact"/>
        <w:jc w:val="both"/>
        <w:rPr>
          <w:rFonts w:hint="eastAsia" w:ascii="仿宋_GB2312" w:hAnsi="Times New Roman" w:eastAsia="仿宋_GB2312"/>
          <w:b/>
          <w:bCs/>
          <w:sz w:val="32"/>
          <w:szCs w:val="32"/>
        </w:rPr>
      </w:pPr>
    </w:p>
    <w:p w14:paraId="7C5C6F9C">
      <w:pPr>
        <w:widowControl/>
        <w:spacing w:line="560" w:lineRule="exact"/>
        <w:jc w:val="both"/>
        <w:rPr>
          <w:rFonts w:hint="eastAsia" w:ascii="仿宋_GB2312" w:hAnsi="Times New Roman" w:eastAsia="仿宋_GB2312"/>
          <w:b/>
          <w:bCs/>
          <w:sz w:val="32"/>
          <w:szCs w:val="32"/>
        </w:rPr>
      </w:pPr>
    </w:p>
    <w:p w14:paraId="020449E3">
      <w:pPr>
        <w:widowControl/>
        <w:spacing w:line="560" w:lineRule="exact"/>
        <w:jc w:val="both"/>
        <w:rPr>
          <w:rFonts w:hint="eastAsia" w:ascii="仿宋_GB2312" w:hAnsi="Times New Roman" w:eastAsia="仿宋_GB2312"/>
          <w:b/>
          <w:bCs/>
          <w:sz w:val="32"/>
          <w:szCs w:val="32"/>
        </w:rPr>
      </w:pPr>
    </w:p>
    <w:p w14:paraId="30596B2C">
      <w:pPr>
        <w:widowControl/>
        <w:spacing w:line="560" w:lineRule="exact"/>
        <w:jc w:val="both"/>
        <w:rPr>
          <w:rFonts w:hint="eastAsia" w:ascii="仿宋_GB2312" w:hAnsi="Times New Roman" w:eastAsia="仿宋_GB2312"/>
          <w:b/>
          <w:bCs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 xml:space="preserve">图1  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202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年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1月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-202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年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1月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福州市物流业景气指数（LPI）</w:t>
      </w:r>
    </w:p>
    <w:p w14:paraId="318A056C">
      <w:pPr>
        <w:widowControl/>
        <w:spacing w:line="560" w:lineRule="exact"/>
        <w:jc w:val="center"/>
        <w:rPr>
          <w:rFonts w:hint="eastAsia" w:ascii="仿宋_GB2312" w:hAnsi="Times New Roman" w:eastAsia="仿宋_GB2312"/>
          <w:b/>
          <w:bCs/>
          <w:spacing w:val="-11"/>
          <w:sz w:val="30"/>
          <w:szCs w:val="30"/>
        </w:rPr>
      </w:pPr>
    </w:p>
    <w:p w14:paraId="693EDF79">
      <w:pPr>
        <w:widowControl/>
        <w:spacing w:line="560" w:lineRule="exact"/>
        <w:jc w:val="center"/>
        <w:rPr>
          <w:rFonts w:hint="eastAsia" w:ascii="仿宋_GB2312" w:hAnsi="Times New Roman" w:eastAsia="仿宋_GB2312"/>
          <w:b/>
          <w:bCs/>
          <w:spacing w:val="-11"/>
          <w:sz w:val="30"/>
          <w:szCs w:val="30"/>
        </w:rPr>
      </w:pPr>
    </w:p>
    <w:p w14:paraId="0DB69E53">
      <w:pPr>
        <w:widowControl/>
        <w:spacing w:line="560" w:lineRule="exact"/>
        <w:jc w:val="center"/>
        <w:rPr>
          <w:rFonts w:hint="eastAsia" w:ascii="仿宋_GB2312" w:hAnsi="Times New Roman" w:eastAsia="仿宋_GB2312"/>
          <w:b/>
          <w:bCs/>
          <w:spacing w:val="-11"/>
          <w:sz w:val="30"/>
          <w:szCs w:val="30"/>
        </w:rPr>
      </w:pPr>
    </w:p>
    <w:tbl>
      <w:tblPr>
        <w:tblStyle w:val="5"/>
        <w:tblW w:w="9004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240"/>
        <w:gridCol w:w="1275"/>
        <w:gridCol w:w="1320"/>
        <w:gridCol w:w="1320"/>
        <w:gridCol w:w="1331"/>
      </w:tblGrid>
      <w:tr w14:paraId="6ECF283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2518" w:type="dxa"/>
            <w:noWrap/>
            <w:vAlign w:val="center"/>
          </w:tcPr>
          <w:p w14:paraId="2A00AA00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noWrap/>
            <w:vAlign w:val="center"/>
          </w:tcPr>
          <w:p w14:paraId="55311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（%）</w:t>
            </w:r>
          </w:p>
        </w:tc>
        <w:tc>
          <w:tcPr>
            <w:tcW w:w="1275" w:type="dxa"/>
            <w:noWrap/>
            <w:vAlign w:val="center"/>
          </w:tcPr>
          <w:p w14:paraId="62736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（%）</w:t>
            </w:r>
          </w:p>
        </w:tc>
        <w:tc>
          <w:tcPr>
            <w:tcW w:w="1320" w:type="dxa"/>
            <w:vAlign w:val="center"/>
          </w:tcPr>
          <w:p w14:paraId="4C7A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环比增减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+、-</w:t>
            </w:r>
          </w:p>
        </w:tc>
        <w:tc>
          <w:tcPr>
            <w:tcW w:w="1320" w:type="dxa"/>
            <w:vAlign w:val="center"/>
          </w:tcPr>
          <w:p w14:paraId="00A5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（%）</w:t>
            </w:r>
          </w:p>
        </w:tc>
        <w:tc>
          <w:tcPr>
            <w:tcW w:w="1331" w:type="dxa"/>
            <w:noWrap/>
            <w:vAlign w:val="center"/>
          </w:tcPr>
          <w:p w14:paraId="333D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同比增减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+、-</w:t>
            </w:r>
          </w:p>
        </w:tc>
      </w:tr>
      <w:tr w14:paraId="141FD2F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 w14:paraId="684F6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物流业景气指数（LPI）</w:t>
            </w:r>
          </w:p>
        </w:tc>
        <w:tc>
          <w:tcPr>
            <w:tcW w:w="1240" w:type="dxa"/>
            <w:noWrap/>
            <w:vAlign w:val="bottom"/>
          </w:tcPr>
          <w:p w14:paraId="4997D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52.1</w:t>
            </w:r>
          </w:p>
        </w:tc>
        <w:tc>
          <w:tcPr>
            <w:tcW w:w="1275" w:type="dxa"/>
            <w:noWrap/>
            <w:vAlign w:val="bottom"/>
          </w:tcPr>
          <w:p w14:paraId="29774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54.1</w:t>
            </w:r>
          </w:p>
        </w:tc>
        <w:tc>
          <w:tcPr>
            <w:tcW w:w="1320" w:type="dxa"/>
            <w:vAlign w:val="bottom"/>
          </w:tcPr>
          <w:p w14:paraId="6561C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-2.0</w:t>
            </w:r>
          </w:p>
        </w:tc>
        <w:tc>
          <w:tcPr>
            <w:tcW w:w="1320" w:type="dxa"/>
            <w:vAlign w:val="bottom"/>
          </w:tcPr>
          <w:p w14:paraId="163E0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51.5</w:t>
            </w:r>
          </w:p>
        </w:tc>
        <w:tc>
          <w:tcPr>
            <w:tcW w:w="1331" w:type="dxa"/>
            <w:noWrap/>
            <w:vAlign w:val="bottom"/>
          </w:tcPr>
          <w:p w14:paraId="129D3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</w:tr>
      <w:tr w14:paraId="46DEBC4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 w14:paraId="6759A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固定资产投资完成额</w:t>
            </w:r>
          </w:p>
        </w:tc>
        <w:tc>
          <w:tcPr>
            <w:tcW w:w="1240" w:type="dxa"/>
            <w:noWrap/>
            <w:vAlign w:val="bottom"/>
          </w:tcPr>
          <w:p w14:paraId="1592E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43.5</w:t>
            </w:r>
          </w:p>
        </w:tc>
        <w:tc>
          <w:tcPr>
            <w:tcW w:w="1275" w:type="dxa"/>
            <w:noWrap/>
            <w:vAlign w:val="bottom"/>
          </w:tcPr>
          <w:p w14:paraId="0E57F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41.8</w:t>
            </w:r>
          </w:p>
        </w:tc>
        <w:tc>
          <w:tcPr>
            <w:tcW w:w="1320" w:type="dxa"/>
            <w:vAlign w:val="bottom"/>
          </w:tcPr>
          <w:p w14:paraId="3840B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  <w:tc>
          <w:tcPr>
            <w:tcW w:w="1320" w:type="dxa"/>
            <w:vAlign w:val="bottom"/>
          </w:tcPr>
          <w:p w14:paraId="1E9ED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40.5</w:t>
            </w:r>
          </w:p>
        </w:tc>
        <w:tc>
          <w:tcPr>
            <w:tcW w:w="1331" w:type="dxa"/>
            <w:noWrap/>
            <w:vAlign w:val="bottom"/>
          </w:tcPr>
          <w:p w14:paraId="2ABDA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3.0</w:t>
            </w:r>
          </w:p>
        </w:tc>
      </w:tr>
      <w:tr w14:paraId="7017BD2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 w14:paraId="4267B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平均库存量</w:t>
            </w:r>
          </w:p>
        </w:tc>
        <w:tc>
          <w:tcPr>
            <w:tcW w:w="1240" w:type="dxa"/>
            <w:noWrap/>
            <w:vAlign w:val="bottom"/>
          </w:tcPr>
          <w:p w14:paraId="6A6C6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54.7</w:t>
            </w:r>
          </w:p>
        </w:tc>
        <w:tc>
          <w:tcPr>
            <w:tcW w:w="1275" w:type="dxa"/>
            <w:noWrap/>
            <w:vAlign w:val="bottom"/>
          </w:tcPr>
          <w:p w14:paraId="5549A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53.8</w:t>
            </w:r>
          </w:p>
        </w:tc>
        <w:tc>
          <w:tcPr>
            <w:tcW w:w="1320" w:type="dxa"/>
            <w:vAlign w:val="bottom"/>
          </w:tcPr>
          <w:p w14:paraId="607BF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  <w:tc>
          <w:tcPr>
            <w:tcW w:w="1320" w:type="dxa"/>
            <w:vAlign w:val="bottom"/>
          </w:tcPr>
          <w:p w14:paraId="5CBC9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55.0 </w:t>
            </w:r>
          </w:p>
        </w:tc>
        <w:tc>
          <w:tcPr>
            <w:tcW w:w="1331" w:type="dxa"/>
            <w:noWrap/>
            <w:vAlign w:val="bottom"/>
          </w:tcPr>
          <w:p w14:paraId="48894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-0.3</w:t>
            </w:r>
          </w:p>
        </w:tc>
      </w:tr>
      <w:tr w14:paraId="03213BD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 w14:paraId="1FC9A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库存周转次数</w:t>
            </w:r>
          </w:p>
        </w:tc>
        <w:tc>
          <w:tcPr>
            <w:tcW w:w="1240" w:type="dxa"/>
            <w:noWrap/>
            <w:vAlign w:val="bottom"/>
          </w:tcPr>
          <w:p w14:paraId="4364C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53.3</w:t>
            </w:r>
          </w:p>
        </w:tc>
        <w:tc>
          <w:tcPr>
            <w:tcW w:w="1275" w:type="dxa"/>
            <w:noWrap/>
            <w:vAlign w:val="bottom"/>
          </w:tcPr>
          <w:p w14:paraId="0F9BF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55.6</w:t>
            </w:r>
          </w:p>
        </w:tc>
        <w:tc>
          <w:tcPr>
            <w:tcW w:w="1320" w:type="dxa"/>
            <w:vAlign w:val="bottom"/>
          </w:tcPr>
          <w:p w14:paraId="0DFFF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-2.3</w:t>
            </w:r>
          </w:p>
        </w:tc>
        <w:tc>
          <w:tcPr>
            <w:tcW w:w="1320" w:type="dxa"/>
            <w:vAlign w:val="bottom"/>
          </w:tcPr>
          <w:p w14:paraId="1EA524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47.5</w:t>
            </w:r>
          </w:p>
        </w:tc>
        <w:tc>
          <w:tcPr>
            <w:tcW w:w="1331" w:type="dxa"/>
            <w:noWrap/>
            <w:vAlign w:val="bottom"/>
          </w:tcPr>
          <w:p w14:paraId="64432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5.8</w:t>
            </w:r>
          </w:p>
        </w:tc>
      </w:tr>
      <w:tr w14:paraId="4DC3249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 w14:paraId="7B8BD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业务活动预期</w:t>
            </w:r>
          </w:p>
        </w:tc>
        <w:tc>
          <w:tcPr>
            <w:tcW w:w="1240" w:type="dxa"/>
            <w:noWrap/>
            <w:vAlign w:val="bottom"/>
          </w:tcPr>
          <w:p w14:paraId="304B0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49.3</w:t>
            </w:r>
          </w:p>
        </w:tc>
        <w:tc>
          <w:tcPr>
            <w:tcW w:w="1275" w:type="dxa"/>
            <w:noWrap/>
            <w:vAlign w:val="bottom"/>
          </w:tcPr>
          <w:p w14:paraId="7624E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51.9</w:t>
            </w:r>
          </w:p>
        </w:tc>
        <w:tc>
          <w:tcPr>
            <w:tcW w:w="1320" w:type="dxa"/>
            <w:vAlign w:val="bottom"/>
          </w:tcPr>
          <w:p w14:paraId="42034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-2.6</w:t>
            </w:r>
          </w:p>
        </w:tc>
        <w:tc>
          <w:tcPr>
            <w:tcW w:w="1320" w:type="dxa"/>
            <w:vAlign w:val="bottom"/>
          </w:tcPr>
          <w:p w14:paraId="52EC3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60.7</w:t>
            </w:r>
          </w:p>
        </w:tc>
        <w:tc>
          <w:tcPr>
            <w:tcW w:w="1331" w:type="dxa"/>
            <w:noWrap/>
            <w:vAlign w:val="bottom"/>
          </w:tcPr>
          <w:p w14:paraId="42FD4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-11.4</w:t>
            </w:r>
          </w:p>
        </w:tc>
      </w:tr>
      <w:tr w14:paraId="07C0D2C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 w14:paraId="26058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物流服务价格</w:t>
            </w:r>
          </w:p>
        </w:tc>
        <w:tc>
          <w:tcPr>
            <w:tcW w:w="1240" w:type="dxa"/>
            <w:noWrap/>
            <w:vAlign w:val="bottom"/>
          </w:tcPr>
          <w:p w14:paraId="0F04B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51.1</w:t>
            </w:r>
          </w:p>
        </w:tc>
        <w:tc>
          <w:tcPr>
            <w:tcW w:w="1275" w:type="dxa"/>
            <w:noWrap/>
            <w:vAlign w:val="bottom"/>
          </w:tcPr>
          <w:p w14:paraId="0C1B6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51.2</w:t>
            </w:r>
          </w:p>
        </w:tc>
        <w:tc>
          <w:tcPr>
            <w:tcW w:w="1320" w:type="dxa"/>
            <w:vAlign w:val="bottom"/>
          </w:tcPr>
          <w:p w14:paraId="2A914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-0.1</w:t>
            </w:r>
          </w:p>
        </w:tc>
        <w:tc>
          <w:tcPr>
            <w:tcW w:w="1320" w:type="dxa"/>
            <w:vAlign w:val="bottom"/>
          </w:tcPr>
          <w:p w14:paraId="490CD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54.3</w:t>
            </w:r>
          </w:p>
        </w:tc>
        <w:tc>
          <w:tcPr>
            <w:tcW w:w="1331" w:type="dxa"/>
            <w:noWrap/>
            <w:vAlign w:val="bottom"/>
          </w:tcPr>
          <w:p w14:paraId="09D7B1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-3.2</w:t>
            </w:r>
          </w:p>
        </w:tc>
      </w:tr>
      <w:tr w14:paraId="50A5745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 w14:paraId="08F43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设备利用率</w:t>
            </w:r>
          </w:p>
        </w:tc>
        <w:tc>
          <w:tcPr>
            <w:tcW w:w="1240" w:type="dxa"/>
            <w:noWrap/>
            <w:vAlign w:val="bottom"/>
          </w:tcPr>
          <w:p w14:paraId="0AC13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51.2</w:t>
            </w:r>
          </w:p>
        </w:tc>
        <w:tc>
          <w:tcPr>
            <w:tcW w:w="1275" w:type="dxa"/>
            <w:noWrap/>
            <w:vAlign w:val="bottom"/>
          </w:tcPr>
          <w:p w14:paraId="71133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54.1</w:t>
            </w:r>
          </w:p>
        </w:tc>
        <w:tc>
          <w:tcPr>
            <w:tcW w:w="1320" w:type="dxa"/>
            <w:vAlign w:val="bottom"/>
          </w:tcPr>
          <w:p w14:paraId="69407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-2.9</w:t>
            </w:r>
          </w:p>
        </w:tc>
        <w:tc>
          <w:tcPr>
            <w:tcW w:w="1320" w:type="dxa"/>
            <w:vAlign w:val="bottom"/>
          </w:tcPr>
          <w:p w14:paraId="24047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51.8</w:t>
            </w:r>
          </w:p>
        </w:tc>
        <w:tc>
          <w:tcPr>
            <w:tcW w:w="1331" w:type="dxa"/>
            <w:noWrap/>
            <w:vAlign w:val="bottom"/>
          </w:tcPr>
          <w:p w14:paraId="3A732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-0.6</w:t>
            </w:r>
          </w:p>
        </w:tc>
      </w:tr>
      <w:tr w14:paraId="2B3E8F2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 w14:paraId="343F9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从业人员</w:t>
            </w:r>
          </w:p>
        </w:tc>
        <w:tc>
          <w:tcPr>
            <w:tcW w:w="1240" w:type="dxa"/>
            <w:noWrap/>
            <w:vAlign w:val="bottom"/>
          </w:tcPr>
          <w:p w14:paraId="3ABB6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53.9</w:t>
            </w:r>
          </w:p>
        </w:tc>
        <w:tc>
          <w:tcPr>
            <w:tcW w:w="1275" w:type="dxa"/>
            <w:noWrap/>
            <w:vAlign w:val="bottom"/>
          </w:tcPr>
          <w:p w14:paraId="304F3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54.2</w:t>
            </w:r>
          </w:p>
        </w:tc>
        <w:tc>
          <w:tcPr>
            <w:tcW w:w="1320" w:type="dxa"/>
            <w:vAlign w:val="bottom"/>
          </w:tcPr>
          <w:p w14:paraId="25B49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-0.3</w:t>
            </w:r>
          </w:p>
        </w:tc>
        <w:tc>
          <w:tcPr>
            <w:tcW w:w="1320" w:type="dxa"/>
            <w:vAlign w:val="bottom"/>
          </w:tcPr>
          <w:p w14:paraId="59CA5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52.9</w:t>
            </w:r>
          </w:p>
        </w:tc>
        <w:tc>
          <w:tcPr>
            <w:tcW w:w="1331" w:type="dxa"/>
            <w:noWrap/>
            <w:vAlign w:val="bottom"/>
          </w:tcPr>
          <w:p w14:paraId="17871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1.0</w:t>
            </w:r>
          </w:p>
        </w:tc>
      </w:tr>
      <w:tr w14:paraId="0564064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518" w:type="dxa"/>
            <w:noWrap/>
            <w:vAlign w:val="bottom"/>
          </w:tcPr>
          <w:p w14:paraId="20D7D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主营业务成本</w:t>
            </w:r>
          </w:p>
        </w:tc>
        <w:tc>
          <w:tcPr>
            <w:tcW w:w="1240" w:type="dxa"/>
            <w:noWrap/>
            <w:vAlign w:val="bottom"/>
          </w:tcPr>
          <w:p w14:paraId="70496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49.8 </w:t>
            </w:r>
          </w:p>
        </w:tc>
        <w:tc>
          <w:tcPr>
            <w:tcW w:w="1275" w:type="dxa"/>
            <w:noWrap/>
            <w:vAlign w:val="bottom"/>
          </w:tcPr>
          <w:p w14:paraId="3C25C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49.8 </w:t>
            </w:r>
          </w:p>
        </w:tc>
        <w:tc>
          <w:tcPr>
            <w:tcW w:w="1320" w:type="dxa"/>
            <w:vAlign w:val="bottom"/>
          </w:tcPr>
          <w:p w14:paraId="31555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</w:t>
            </w:r>
          </w:p>
        </w:tc>
        <w:tc>
          <w:tcPr>
            <w:tcW w:w="1320" w:type="dxa"/>
            <w:vAlign w:val="bottom"/>
          </w:tcPr>
          <w:p w14:paraId="34A67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49.7</w:t>
            </w:r>
          </w:p>
        </w:tc>
        <w:tc>
          <w:tcPr>
            <w:tcW w:w="1331" w:type="dxa"/>
            <w:noWrap/>
            <w:vAlign w:val="bottom"/>
          </w:tcPr>
          <w:p w14:paraId="58A5C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</w:tr>
      <w:tr w14:paraId="4717E36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 w14:paraId="4C1F2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新订单（客户需求）</w:t>
            </w:r>
          </w:p>
        </w:tc>
        <w:tc>
          <w:tcPr>
            <w:tcW w:w="1240" w:type="dxa"/>
            <w:noWrap/>
            <w:vAlign w:val="bottom"/>
          </w:tcPr>
          <w:p w14:paraId="04108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50.8</w:t>
            </w:r>
          </w:p>
        </w:tc>
        <w:tc>
          <w:tcPr>
            <w:tcW w:w="1275" w:type="dxa"/>
            <w:noWrap/>
            <w:vAlign w:val="bottom"/>
          </w:tcPr>
          <w:p w14:paraId="562369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54.1</w:t>
            </w:r>
          </w:p>
        </w:tc>
        <w:tc>
          <w:tcPr>
            <w:tcW w:w="1320" w:type="dxa"/>
            <w:vAlign w:val="bottom"/>
          </w:tcPr>
          <w:p w14:paraId="2B227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-3.3</w:t>
            </w:r>
          </w:p>
        </w:tc>
        <w:tc>
          <w:tcPr>
            <w:tcW w:w="1320" w:type="dxa"/>
            <w:vAlign w:val="bottom"/>
          </w:tcPr>
          <w:p w14:paraId="5E2E5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51.5</w:t>
            </w:r>
          </w:p>
        </w:tc>
        <w:tc>
          <w:tcPr>
            <w:tcW w:w="1331" w:type="dxa"/>
            <w:noWrap/>
            <w:vAlign w:val="bottom"/>
          </w:tcPr>
          <w:p w14:paraId="46C50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-0.7</w:t>
            </w:r>
          </w:p>
        </w:tc>
      </w:tr>
      <w:tr w14:paraId="32884BB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 w14:paraId="359E3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业务总量</w:t>
            </w:r>
          </w:p>
        </w:tc>
        <w:tc>
          <w:tcPr>
            <w:tcW w:w="1240" w:type="dxa"/>
            <w:noWrap/>
            <w:vAlign w:val="bottom"/>
          </w:tcPr>
          <w:p w14:paraId="5937F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52.3</w:t>
            </w:r>
          </w:p>
        </w:tc>
        <w:tc>
          <w:tcPr>
            <w:tcW w:w="1275" w:type="dxa"/>
            <w:noWrap/>
            <w:vAlign w:val="bottom"/>
          </w:tcPr>
          <w:p w14:paraId="5BFF8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53.5</w:t>
            </w:r>
          </w:p>
        </w:tc>
        <w:tc>
          <w:tcPr>
            <w:tcW w:w="1320" w:type="dxa"/>
            <w:vAlign w:val="bottom"/>
          </w:tcPr>
          <w:p w14:paraId="7B525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-1.2</w:t>
            </w:r>
          </w:p>
        </w:tc>
        <w:tc>
          <w:tcPr>
            <w:tcW w:w="1320" w:type="dxa"/>
            <w:vAlign w:val="bottom"/>
          </w:tcPr>
          <w:p w14:paraId="2F934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51.5</w:t>
            </w:r>
          </w:p>
        </w:tc>
        <w:tc>
          <w:tcPr>
            <w:tcW w:w="1331" w:type="dxa"/>
            <w:noWrap/>
            <w:vAlign w:val="bottom"/>
          </w:tcPr>
          <w:p w14:paraId="6A230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</w:tr>
      <w:tr w14:paraId="09537A7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 w14:paraId="58D02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资金周转率</w:t>
            </w:r>
          </w:p>
        </w:tc>
        <w:tc>
          <w:tcPr>
            <w:tcW w:w="1240" w:type="dxa"/>
            <w:noWrap/>
            <w:vAlign w:val="bottom"/>
          </w:tcPr>
          <w:p w14:paraId="37E7F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53.2 </w:t>
            </w:r>
          </w:p>
        </w:tc>
        <w:tc>
          <w:tcPr>
            <w:tcW w:w="1275" w:type="dxa"/>
            <w:noWrap/>
            <w:vAlign w:val="bottom"/>
          </w:tcPr>
          <w:p w14:paraId="05D96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52.3 </w:t>
            </w:r>
          </w:p>
        </w:tc>
        <w:tc>
          <w:tcPr>
            <w:tcW w:w="1320" w:type="dxa"/>
            <w:vAlign w:val="bottom"/>
          </w:tcPr>
          <w:p w14:paraId="0994C1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  <w:tc>
          <w:tcPr>
            <w:tcW w:w="1320" w:type="dxa"/>
            <w:vAlign w:val="bottom"/>
          </w:tcPr>
          <w:p w14:paraId="7E272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52.7</w:t>
            </w:r>
          </w:p>
        </w:tc>
        <w:tc>
          <w:tcPr>
            <w:tcW w:w="1331" w:type="dxa"/>
            <w:noWrap/>
            <w:vAlign w:val="bottom"/>
          </w:tcPr>
          <w:p w14:paraId="74793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 w14:paraId="3CDC591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noWrap/>
            <w:vAlign w:val="bottom"/>
          </w:tcPr>
          <w:p w14:paraId="7F845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主营业务利润</w:t>
            </w:r>
          </w:p>
        </w:tc>
        <w:tc>
          <w:tcPr>
            <w:tcW w:w="1240" w:type="dxa"/>
            <w:noWrap/>
            <w:vAlign w:val="bottom"/>
          </w:tcPr>
          <w:p w14:paraId="277DB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46.1</w:t>
            </w:r>
          </w:p>
        </w:tc>
        <w:tc>
          <w:tcPr>
            <w:tcW w:w="1275" w:type="dxa"/>
            <w:noWrap/>
            <w:vAlign w:val="bottom"/>
          </w:tcPr>
          <w:p w14:paraId="6AD54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45.7</w:t>
            </w:r>
          </w:p>
        </w:tc>
        <w:tc>
          <w:tcPr>
            <w:tcW w:w="1320" w:type="dxa"/>
            <w:vAlign w:val="bottom"/>
          </w:tcPr>
          <w:p w14:paraId="737CA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1320" w:type="dxa"/>
            <w:vAlign w:val="bottom"/>
          </w:tcPr>
          <w:p w14:paraId="64C1D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40.9</w:t>
            </w:r>
          </w:p>
        </w:tc>
        <w:tc>
          <w:tcPr>
            <w:tcW w:w="1331" w:type="dxa"/>
            <w:noWrap/>
            <w:vAlign w:val="bottom"/>
          </w:tcPr>
          <w:p w14:paraId="2FC46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5.2</w:t>
            </w:r>
          </w:p>
        </w:tc>
      </w:tr>
    </w:tbl>
    <w:p w14:paraId="4815764D">
      <w:pPr>
        <w:jc w:val="center"/>
        <w:rPr>
          <w:rFonts w:hint="eastAsia" w:ascii="仿宋_GB2312" w:hAnsi="Times New Roman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/>
          <w:b/>
          <w:bCs/>
          <w:sz w:val="28"/>
          <w:szCs w:val="28"/>
          <w:lang w:val="en-US" w:eastAsia="zh-CN"/>
        </w:rPr>
        <w:t>表1 2026年1</w:t>
      </w:r>
      <w:bookmarkStart w:id="3" w:name="_GoBack"/>
      <w:bookmarkEnd w:id="3"/>
      <w:r>
        <w:rPr>
          <w:rFonts w:hint="eastAsia" w:ascii="仿宋_GB2312" w:hAnsi="Times New Roman" w:eastAsia="仿宋_GB2312"/>
          <w:b/>
          <w:bCs/>
          <w:sz w:val="28"/>
          <w:szCs w:val="28"/>
          <w:lang w:val="en-US" w:eastAsia="zh-CN"/>
        </w:rPr>
        <w:t>月福州市物流业景气指数（LPI）环比、同比变化情况</w:t>
      </w:r>
    </w:p>
    <w:p w14:paraId="71273BB5">
      <w:pPr>
        <w:widowControl/>
        <w:spacing w:line="560" w:lineRule="exact"/>
        <w:ind w:firstLine="640" w:firstLineChars="200"/>
        <w:rPr>
          <w:rFonts w:hint="eastAsia" w:ascii="仿宋_GB2312" w:hAnsi="仿宋" w:eastAsia="仿宋_GB2312"/>
          <w:b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36"/>
          <w:sz w:val="32"/>
          <w:szCs w:val="32"/>
          <w:lang w:val="en-US" w:eastAsia="zh-CN" w:bidi="ar-SA"/>
        </w:rPr>
        <w:t>一、物流市场需求回落，市场保持景气。</w:t>
      </w:r>
      <w:bookmarkStart w:id="1" w:name="OLE_LINK14"/>
      <w:r>
        <w:rPr>
          <w:rFonts w:hint="eastAsia" w:ascii="仿宋_GB2312" w:hAnsi="仿宋" w:eastAsia="仿宋_GB2312"/>
          <w:b w:val="0"/>
          <w:sz w:val="32"/>
          <w:lang w:val="en-US" w:eastAsia="zh-CN"/>
        </w:rPr>
        <w:t xml:space="preserve"> 1月，福州市物流新订单指数为50.8%，较上月回落3.3个百分点（见图2）。分行业看，运输业新订单指数为51.2%，较上月下降3.3个百分点；多式联运和运输代理业新订单指数为51.2%，较上月下降2.0个百分点；装卸搬运和仓储业新订单指数为46.0%，较上月上升5.0个百分点。分A级企业看，5A级企业新订单指数为48.0%，较上月下降1.0个百分点；4A级企业新订单指数为52.9%，较上月下降9.0个百分点；3A级企业新订单指数为55.1%，较上月下降14.0个百分点。</w:t>
      </w:r>
    </w:p>
    <w:p w14:paraId="07E73F66">
      <w:pPr>
        <w:numPr>
          <w:ilvl w:val="0"/>
          <w:numId w:val="0"/>
        </w:numPr>
      </w:pPr>
    </w:p>
    <w:p w14:paraId="5830B9D8"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615940" cy="2919095"/>
            <wp:effectExtent l="0" t="0" r="7620" b="6985"/>
            <wp:docPr id="6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601E909">
      <w:pPr>
        <w:jc w:val="center"/>
      </w:pPr>
    </w:p>
    <w:p w14:paraId="7E688656">
      <w:pPr>
        <w:jc w:val="center"/>
        <w:rPr>
          <w:rFonts w:hint="eastAsia" w:ascii="仿宋_GB2312" w:hAnsi="Times New Roman" w:eastAsia="仿宋_GB2312"/>
          <w:b/>
          <w:bCs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 xml:space="preserve">图2  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202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年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1月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-202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年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1月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福州市物流新订单指数图</w:t>
      </w:r>
      <w:bookmarkEnd w:id="1"/>
    </w:p>
    <w:p w14:paraId="7BE0586E">
      <w:pPr>
        <w:pStyle w:val="2"/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0" w:firstLineChars="0"/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物流业务总量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略有回落。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 xml:space="preserve"> 1月，福州市物流业务总量指数为52.3%，较上月回落1.2个百分点（见图3）。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分行业看，运输业业务总量指数为56.2%，较上月下降1.0个百分点；多式联运和运输代理业业务总量指数为45.9%，较上月下降0.5个百分点；装卸搬运和仓储业业务总量指数为48.7%，较上月上升0.5个百分点。分A级企业看，5A级企业业务总量指数为49.5%，较上月上升7.4个百分点；4A级企业业务总量指数为55.5%，较上月下降2.1个百分点；3A级企业业务总量指数为54.5%，较上月下降2.2个百分点。</w:t>
      </w:r>
    </w:p>
    <w:p w14:paraId="2E71B852">
      <w:pPr>
        <w:widowControl w:val="0"/>
        <w:numPr>
          <w:ilvl w:val="0"/>
          <w:numId w:val="0"/>
        </w:numPr>
        <w:spacing w:line="390" w:lineRule="atLeast"/>
        <w:jc w:val="both"/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</w:pPr>
      <w:r>
        <w:drawing>
          <wp:inline distT="0" distB="0" distL="114300" distR="114300">
            <wp:extent cx="5614670" cy="2366010"/>
            <wp:effectExtent l="4445" t="4445" r="19685" b="6985"/>
            <wp:docPr id="9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26CE14F">
      <w:pPr>
        <w:widowControl/>
        <w:spacing w:line="560" w:lineRule="exact"/>
        <w:jc w:val="center"/>
        <w:rPr>
          <w:rFonts w:hint="eastAsia" w:ascii="仿宋_GB2312" w:hAnsi="Times New Roman" w:eastAsia="仿宋_GB2312"/>
          <w:b/>
          <w:bCs/>
          <w:sz w:val="32"/>
          <w:szCs w:val="32"/>
        </w:rPr>
      </w:pPr>
      <w:bookmarkStart w:id="2" w:name="OLE_LINK9"/>
      <w:r>
        <w:rPr>
          <w:rFonts w:hint="eastAsia" w:ascii="仿宋_GB2312" w:hAnsi="Times New Roman" w:eastAsia="仿宋_GB2312"/>
          <w:b/>
          <w:bCs/>
          <w:sz w:val="32"/>
          <w:szCs w:val="32"/>
        </w:rPr>
        <w:t>图3  202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年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1月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-202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年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1月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福州市物流业务总量指数图</w:t>
      </w:r>
      <w:bookmarkEnd w:id="2"/>
    </w:p>
    <w:p w14:paraId="2D3F7B49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物流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行业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就业状况小幅回落。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1月，福州市物流从业人员指数为53.9%，较上月回落0.3个百分点，物流业用工需求保持基本稳定，仍处于景气区间。</w:t>
      </w:r>
    </w:p>
    <w:p w14:paraId="5A87E7BD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资金周转率持续提升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。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1月，福州市物流资金周转率指数为53.2%，较上月上升0.9个百分点，持续位于荣枯线以上，物流企业回款速度有所提升。</w:t>
      </w:r>
    </w:p>
    <w:p w14:paraId="0075C592">
      <w:pPr>
        <w:widowControl/>
        <w:spacing w:line="560" w:lineRule="exact"/>
        <w:ind w:firstLine="640" w:firstLineChars="200"/>
        <w:jc w:val="left"/>
        <w:rPr>
          <w:rStyle w:val="7"/>
          <w:rFonts w:hint="default" w:ascii="仿宋_GB2312" w:hAnsi="仿宋" w:eastAsia="仿宋_GB2312"/>
          <w:color w:val="0000FF"/>
          <w:sz w:val="32"/>
          <w:szCs w:val="32"/>
          <w:highlight w:val="yellow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五、物流业经营状况小幅改善。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 xml:space="preserve"> 1月，福州市物流业主营业务成本指数为49.8%，与上月持平；物流服务价格指数为51.1%，较上月回落0.1个百分点；主营业务利润指数为46.1%，较上月上升0.4个百分点。企业盈利水平小幅提升，虽仍处于荣枯线下，但呈现改善趋势。</w:t>
      </w:r>
    </w:p>
    <w:p w14:paraId="63651AD3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eastAsia="zh-CN"/>
        </w:rPr>
        <w:t>六、</w:t>
      </w: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val="en-US" w:eastAsia="zh-CN"/>
        </w:rPr>
        <w:t>库存量上升，周转效率下降</w:t>
      </w:r>
      <w:r>
        <w:rPr>
          <w:rFonts w:hint="eastAsia" w:ascii="国标黑体" w:hAnsi="国标黑体" w:eastAsia="国标黑体" w:cs="国标黑体"/>
          <w:b w:val="0"/>
          <w:bCs w:val="0"/>
          <w:color w:val="auto"/>
          <w:sz w:val="32"/>
          <w:szCs w:val="32"/>
        </w:rPr>
        <w:t>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1月，由于春节备货原因导致库存量上升，福州市物流平均库存量指数为54.7%，较上月上升0.9个百分点。节前实际出库活动减少，库存周转次数指数为53.3%，较上月回落2.3个百分点，流通效率有所下降。</w:t>
      </w:r>
    </w:p>
    <w:p w14:paraId="036498C1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从后期走势看，福州市物流业务活动预期指数为49.3%，较上月回落2.6个百分点，跌至荣枯线以下，物流企业对短期市场预期趋于谨慎。</w:t>
      </w:r>
    </w:p>
    <w:p w14:paraId="3CAF2FD4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sectPr>
      <w:footerReference r:id="rId5" w:type="default"/>
      <w:pgSz w:w="11906" w:h="16838"/>
      <w:pgMar w:top="2041" w:right="1474" w:bottom="2041" w:left="1587" w:header="850" w:footer="1247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舒体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0C89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346C7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m3XR8sAgAAVQ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r6hRDOFgp9+fD/9&#10;fDj9+kbGUZ7W+hmi7i3iQvfOdGia4dzjMLLuKqfiF3wI/BD3eBFXdIHweGk6mU5zuDh8wwb42eN1&#10;63x4L4wi0SioQ/WSqOyw8aEPHUJiNm3WjZSpglKTtqBXr9/m6cLFA3CpkSOS6B8brdBtuzOzrSmP&#10;IOZM3xne8nWD5Bvmwx1zaAU8GMMSbrFU0iCJOVuU1MZ9/dd5jEeF4KWkRWsVVGOSKJEfNCoHwDAY&#10;bjC2g6H36sagV8cYQsuTiQsuyMGsnFFfMEHLmAMupjkyFTQM5k3o2xsTyMVymYLQa5aFjb63PEJH&#10;8bxd7gMETLpGUXolzlqh21JlzpMR2/nPfYp6/Bss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6bddH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346C7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C5EFD"/>
    <w:rsid w:val="00713735"/>
    <w:rsid w:val="00BA1A55"/>
    <w:rsid w:val="011417D7"/>
    <w:rsid w:val="015C257B"/>
    <w:rsid w:val="02391D70"/>
    <w:rsid w:val="025440E5"/>
    <w:rsid w:val="02E02481"/>
    <w:rsid w:val="047D42E8"/>
    <w:rsid w:val="047D7321"/>
    <w:rsid w:val="048700DD"/>
    <w:rsid w:val="063F75DD"/>
    <w:rsid w:val="064C75F3"/>
    <w:rsid w:val="06A73B15"/>
    <w:rsid w:val="06DF180E"/>
    <w:rsid w:val="06FF7F8B"/>
    <w:rsid w:val="075C3170"/>
    <w:rsid w:val="07ED4390"/>
    <w:rsid w:val="083D71F3"/>
    <w:rsid w:val="08707848"/>
    <w:rsid w:val="08F5187C"/>
    <w:rsid w:val="08FA1588"/>
    <w:rsid w:val="092751AC"/>
    <w:rsid w:val="09DC645D"/>
    <w:rsid w:val="0A1C3564"/>
    <w:rsid w:val="0B471F76"/>
    <w:rsid w:val="0B6B32EB"/>
    <w:rsid w:val="0B86206A"/>
    <w:rsid w:val="0BFA53FB"/>
    <w:rsid w:val="0C457EA5"/>
    <w:rsid w:val="0C620A9F"/>
    <w:rsid w:val="0D2070E4"/>
    <w:rsid w:val="0D6C5EFD"/>
    <w:rsid w:val="0DE1094B"/>
    <w:rsid w:val="0E2C4896"/>
    <w:rsid w:val="0FBB4634"/>
    <w:rsid w:val="0FFF0F60"/>
    <w:rsid w:val="106F66A3"/>
    <w:rsid w:val="10ED3781"/>
    <w:rsid w:val="10F62606"/>
    <w:rsid w:val="118E0AC0"/>
    <w:rsid w:val="12E67D0D"/>
    <w:rsid w:val="12F36642"/>
    <w:rsid w:val="13391238"/>
    <w:rsid w:val="13634AFE"/>
    <w:rsid w:val="13A435AA"/>
    <w:rsid w:val="13C908A3"/>
    <w:rsid w:val="13CB3006"/>
    <w:rsid w:val="13D55753"/>
    <w:rsid w:val="13DA4490"/>
    <w:rsid w:val="14990155"/>
    <w:rsid w:val="14F11E02"/>
    <w:rsid w:val="14FB646C"/>
    <w:rsid w:val="156C5E06"/>
    <w:rsid w:val="158521DA"/>
    <w:rsid w:val="159266A5"/>
    <w:rsid w:val="15983ADE"/>
    <w:rsid w:val="15DD42E8"/>
    <w:rsid w:val="15DE2331"/>
    <w:rsid w:val="16021A7C"/>
    <w:rsid w:val="162559A9"/>
    <w:rsid w:val="16865F0D"/>
    <w:rsid w:val="16B25250"/>
    <w:rsid w:val="16DA0614"/>
    <w:rsid w:val="16E6314C"/>
    <w:rsid w:val="17EF18DE"/>
    <w:rsid w:val="18A83DA1"/>
    <w:rsid w:val="18F71640"/>
    <w:rsid w:val="193A3C81"/>
    <w:rsid w:val="197B0783"/>
    <w:rsid w:val="19C37B50"/>
    <w:rsid w:val="1A545E15"/>
    <w:rsid w:val="1ADC6D40"/>
    <w:rsid w:val="1AFA5418"/>
    <w:rsid w:val="1AFF658A"/>
    <w:rsid w:val="1B7504FB"/>
    <w:rsid w:val="1B837749"/>
    <w:rsid w:val="1C2353DB"/>
    <w:rsid w:val="1C954CD6"/>
    <w:rsid w:val="1CCD7893"/>
    <w:rsid w:val="1CEE431C"/>
    <w:rsid w:val="1DAB54D4"/>
    <w:rsid w:val="1E32372A"/>
    <w:rsid w:val="1EAF2075"/>
    <w:rsid w:val="1F4D7300"/>
    <w:rsid w:val="1F737547"/>
    <w:rsid w:val="1FAA3E59"/>
    <w:rsid w:val="20BF6730"/>
    <w:rsid w:val="20F51AAC"/>
    <w:rsid w:val="211865F8"/>
    <w:rsid w:val="21300795"/>
    <w:rsid w:val="21556A3C"/>
    <w:rsid w:val="2189430E"/>
    <w:rsid w:val="22393D7A"/>
    <w:rsid w:val="22FA5350"/>
    <w:rsid w:val="23997AF8"/>
    <w:rsid w:val="250550E5"/>
    <w:rsid w:val="25255B79"/>
    <w:rsid w:val="25DF1492"/>
    <w:rsid w:val="26310260"/>
    <w:rsid w:val="268553B8"/>
    <w:rsid w:val="26E4308C"/>
    <w:rsid w:val="270F3FF9"/>
    <w:rsid w:val="279336AF"/>
    <w:rsid w:val="279A10BA"/>
    <w:rsid w:val="284B3B4E"/>
    <w:rsid w:val="2888638A"/>
    <w:rsid w:val="29B61007"/>
    <w:rsid w:val="29C9048F"/>
    <w:rsid w:val="29E96D83"/>
    <w:rsid w:val="2A0F651F"/>
    <w:rsid w:val="2AB1708B"/>
    <w:rsid w:val="2AE61515"/>
    <w:rsid w:val="2B696EC7"/>
    <w:rsid w:val="2C0F4464"/>
    <w:rsid w:val="2C5520AD"/>
    <w:rsid w:val="2C9A46EE"/>
    <w:rsid w:val="2CE45F28"/>
    <w:rsid w:val="2E1F2D74"/>
    <w:rsid w:val="2E4C38E0"/>
    <w:rsid w:val="2E6868C1"/>
    <w:rsid w:val="2E7F4C18"/>
    <w:rsid w:val="2EE11754"/>
    <w:rsid w:val="2F0C3072"/>
    <w:rsid w:val="2F222A6F"/>
    <w:rsid w:val="2F8D311D"/>
    <w:rsid w:val="2FA73070"/>
    <w:rsid w:val="2FE6029E"/>
    <w:rsid w:val="301A3A2B"/>
    <w:rsid w:val="31082941"/>
    <w:rsid w:val="3115268D"/>
    <w:rsid w:val="311F205E"/>
    <w:rsid w:val="315C2214"/>
    <w:rsid w:val="31BB14B0"/>
    <w:rsid w:val="31C32295"/>
    <w:rsid w:val="323F1C36"/>
    <w:rsid w:val="330E112E"/>
    <w:rsid w:val="33291F9F"/>
    <w:rsid w:val="34A22009"/>
    <w:rsid w:val="35514B48"/>
    <w:rsid w:val="35584DBD"/>
    <w:rsid w:val="36A07989"/>
    <w:rsid w:val="38361BA7"/>
    <w:rsid w:val="385B438D"/>
    <w:rsid w:val="38980F5B"/>
    <w:rsid w:val="38DB4152"/>
    <w:rsid w:val="3923517F"/>
    <w:rsid w:val="393D07AF"/>
    <w:rsid w:val="399A5B82"/>
    <w:rsid w:val="39BA58C5"/>
    <w:rsid w:val="39ED73DC"/>
    <w:rsid w:val="3A233A7B"/>
    <w:rsid w:val="3B280154"/>
    <w:rsid w:val="3BB87FA3"/>
    <w:rsid w:val="3C18637C"/>
    <w:rsid w:val="3C6E55FB"/>
    <w:rsid w:val="3C7C5835"/>
    <w:rsid w:val="3C8A0418"/>
    <w:rsid w:val="3D7F13EA"/>
    <w:rsid w:val="3DA44BB4"/>
    <w:rsid w:val="3DB70E38"/>
    <w:rsid w:val="3DCF5798"/>
    <w:rsid w:val="3F127EC1"/>
    <w:rsid w:val="3F140C48"/>
    <w:rsid w:val="3F8844F1"/>
    <w:rsid w:val="3FFA41C5"/>
    <w:rsid w:val="412B797C"/>
    <w:rsid w:val="414925C8"/>
    <w:rsid w:val="41B74B29"/>
    <w:rsid w:val="41B8730F"/>
    <w:rsid w:val="41C31810"/>
    <w:rsid w:val="42D83794"/>
    <w:rsid w:val="42FF0328"/>
    <w:rsid w:val="43487B44"/>
    <w:rsid w:val="441B1EAF"/>
    <w:rsid w:val="44F87C5C"/>
    <w:rsid w:val="453C676D"/>
    <w:rsid w:val="453E5A07"/>
    <w:rsid w:val="458D460F"/>
    <w:rsid w:val="46274A64"/>
    <w:rsid w:val="4659738D"/>
    <w:rsid w:val="46760BF4"/>
    <w:rsid w:val="46E5428C"/>
    <w:rsid w:val="471E22FD"/>
    <w:rsid w:val="47347E28"/>
    <w:rsid w:val="476B3A03"/>
    <w:rsid w:val="47C46D2D"/>
    <w:rsid w:val="47D318F9"/>
    <w:rsid w:val="47E20C23"/>
    <w:rsid w:val="47F768F3"/>
    <w:rsid w:val="480E193A"/>
    <w:rsid w:val="481F17E3"/>
    <w:rsid w:val="486B0882"/>
    <w:rsid w:val="48D95EDE"/>
    <w:rsid w:val="49A81A17"/>
    <w:rsid w:val="49E30645"/>
    <w:rsid w:val="4A720527"/>
    <w:rsid w:val="4AA2290B"/>
    <w:rsid w:val="4AF30348"/>
    <w:rsid w:val="4B283516"/>
    <w:rsid w:val="4B452904"/>
    <w:rsid w:val="4BA754D9"/>
    <w:rsid w:val="4C0663D6"/>
    <w:rsid w:val="4C7A7363"/>
    <w:rsid w:val="4CD7378D"/>
    <w:rsid w:val="4D1B3CC8"/>
    <w:rsid w:val="4E28581D"/>
    <w:rsid w:val="4F1424DD"/>
    <w:rsid w:val="4F20556A"/>
    <w:rsid w:val="4FD23C92"/>
    <w:rsid w:val="506D0556"/>
    <w:rsid w:val="509074BA"/>
    <w:rsid w:val="50B040E7"/>
    <w:rsid w:val="51366D87"/>
    <w:rsid w:val="51BD75C6"/>
    <w:rsid w:val="52020133"/>
    <w:rsid w:val="52114FFA"/>
    <w:rsid w:val="52251F91"/>
    <w:rsid w:val="5325232B"/>
    <w:rsid w:val="533E33EC"/>
    <w:rsid w:val="545A3C3A"/>
    <w:rsid w:val="5475005A"/>
    <w:rsid w:val="54D77655"/>
    <w:rsid w:val="561D378D"/>
    <w:rsid w:val="562E599A"/>
    <w:rsid w:val="568069BE"/>
    <w:rsid w:val="56B30A13"/>
    <w:rsid w:val="56CD1E74"/>
    <w:rsid w:val="56EBDAFC"/>
    <w:rsid w:val="56EC2E0B"/>
    <w:rsid w:val="57087F99"/>
    <w:rsid w:val="575C2093"/>
    <w:rsid w:val="578B5303"/>
    <w:rsid w:val="57AE5CC6"/>
    <w:rsid w:val="58771F47"/>
    <w:rsid w:val="587D4DD8"/>
    <w:rsid w:val="597204CD"/>
    <w:rsid w:val="59BF6E96"/>
    <w:rsid w:val="59CD7278"/>
    <w:rsid w:val="59E321E9"/>
    <w:rsid w:val="5A4E1134"/>
    <w:rsid w:val="5AE109BE"/>
    <w:rsid w:val="5B22280C"/>
    <w:rsid w:val="5B231846"/>
    <w:rsid w:val="5B3D79EE"/>
    <w:rsid w:val="5B4B0B25"/>
    <w:rsid w:val="5B9938B6"/>
    <w:rsid w:val="5BC77895"/>
    <w:rsid w:val="5DDF315C"/>
    <w:rsid w:val="5FDD96B9"/>
    <w:rsid w:val="5FE969F4"/>
    <w:rsid w:val="601305E4"/>
    <w:rsid w:val="60ED0765"/>
    <w:rsid w:val="611D44F1"/>
    <w:rsid w:val="61C61054"/>
    <w:rsid w:val="622D6B06"/>
    <w:rsid w:val="625A3109"/>
    <w:rsid w:val="63433810"/>
    <w:rsid w:val="637F291A"/>
    <w:rsid w:val="63AF02F1"/>
    <w:rsid w:val="64B74DAD"/>
    <w:rsid w:val="65595AB0"/>
    <w:rsid w:val="658905E5"/>
    <w:rsid w:val="665729A3"/>
    <w:rsid w:val="67286FDE"/>
    <w:rsid w:val="67AD1D1A"/>
    <w:rsid w:val="67DC5FBE"/>
    <w:rsid w:val="67E805F3"/>
    <w:rsid w:val="67EF3E96"/>
    <w:rsid w:val="6861575B"/>
    <w:rsid w:val="68D9433D"/>
    <w:rsid w:val="69331556"/>
    <w:rsid w:val="696848C8"/>
    <w:rsid w:val="6981433F"/>
    <w:rsid w:val="69981439"/>
    <w:rsid w:val="69C243A3"/>
    <w:rsid w:val="6AA1366C"/>
    <w:rsid w:val="6AB91291"/>
    <w:rsid w:val="6B5C5C1E"/>
    <w:rsid w:val="6C04774A"/>
    <w:rsid w:val="6CB00A5F"/>
    <w:rsid w:val="6CC11EE3"/>
    <w:rsid w:val="6D801E32"/>
    <w:rsid w:val="6E922B12"/>
    <w:rsid w:val="6E9D089E"/>
    <w:rsid w:val="6EE64C0C"/>
    <w:rsid w:val="6FCA2F7A"/>
    <w:rsid w:val="6FEF7AF1"/>
    <w:rsid w:val="706758D9"/>
    <w:rsid w:val="70CF58E0"/>
    <w:rsid w:val="719D3914"/>
    <w:rsid w:val="71F25CB4"/>
    <w:rsid w:val="720553A9"/>
    <w:rsid w:val="721F557F"/>
    <w:rsid w:val="72A157FD"/>
    <w:rsid w:val="7367736B"/>
    <w:rsid w:val="736A3C93"/>
    <w:rsid w:val="73F52BF8"/>
    <w:rsid w:val="74BF4D9A"/>
    <w:rsid w:val="74DB6895"/>
    <w:rsid w:val="74E66770"/>
    <w:rsid w:val="758F7D6B"/>
    <w:rsid w:val="75C850AF"/>
    <w:rsid w:val="77B86EDF"/>
    <w:rsid w:val="77D71AEC"/>
    <w:rsid w:val="78AB4A4D"/>
    <w:rsid w:val="78CD72FF"/>
    <w:rsid w:val="78EA72AD"/>
    <w:rsid w:val="78EF60BC"/>
    <w:rsid w:val="79620369"/>
    <w:rsid w:val="7A5F5716"/>
    <w:rsid w:val="7A9A5606"/>
    <w:rsid w:val="7ABBFEE9"/>
    <w:rsid w:val="7B5952C8"/>
    <w:rsid w:val="7BCC4583"/>
    <w:rsid w:val="7BDBB1F5"/>
    <w:rsid w:val="7C362A21"/>
    <w:rsid w:val="7CE76881"/>
    <w:rsid w:val="7D6516EC"/>
    <w:rsid w:val="7D910D10"/>
    <w:rsid w:val="7DAF1515"/>
    <w:rsid w:val="7E01736D"/>
    <w:rsid w:val="7E2D26D0"/>
    <w:rsid w:val="7E3C2153"/>
    <w:rsid w:val="7F0B79EB"/>
    <w:rsid w:val="7F2D6CDA"/>
    <w:rsid w:val="7F676157"/>
    <w:rsid w:val="7F9DF0A7"/>
    <w:rsid w:val="7FA263D1"/>
    <w:rsid w:val="7FAA7D13"/>
    <w:rsid w:val="7FAF4202"/>
    <w:rsid w:val="7FFF6C1A"/>
    <w:rsid w:val="8E9BAE4F"/>
    <w:rsid w:val="9D66BA1F"/>
    <w:rsid w:val="DD77D96A"/>
    <w:rsid w:val="DFFCC780"/>
    <w:rsid w:val="E33FBF33"/>
    <w:rsid w:val="ECEFCD2B"/>
    <w:rsid w:val="F7F3C72B"/>
    <w:rsid w:val="FB6DD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9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7">
    <w:name w:val="Strong"/>
    <w:qFormat/>
    <w:uiPriority w:val="22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3.xml"/><Relationship Id="rId8" Type="http://schemas.openxmlformats.org/officeDocument/2006/relationships/chart" Target="charts/chart2.xml"/><Relationship Id="rId7" Type="http://schemas.openxmlformats.org/officeDocument/2006/relationships/chart" Target="charts/chart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24037;&#20316;\2025&#24037;&#20316;\&#29289;&#27969;&#32479;&#35745;\&#31119;&#24030;&#24066;&#29289;&#27969;&#26223;&#27668;&#25351;&#25968;&#65288;LPI&#65289;&#22522;&#30784;&#25968;&#25454;2021-2025&#65288;2025&#24180;01-12&#26376;&#65289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D:\&#24037;&#20316;\2025&#24037;&#20316;\&#29289;&#27969;&#32479;&#35745;\&#31119;&#24030;&#24066;&#29289;&#27969;&#26223;&#27668;&#25351;&#25968;&#65288;LPI&#65289;&#22522;&#30784;&#25968;&#25454;2021-2025&#65288;2025&#24180;01-12&#26376;&#65289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24037;&#20316;\2025&#24037;&#20316;\&#29289;&#27969;&#32479;&#35745;\&#31119;&#24030;&#24066;&#29289;&#27969;&#26223;&#27668;&#25351;&#25968;&#65288;LPI&#65289;&#22522;&#30784;&#25968;&#25454;2021-2025&#65288;2025&#24180;01-12&#26376;&#6528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755517009271688"/>
          <c:y val="0.0811592888816916"/>
          <c:w val="0.878942673537147"/>
          <c:h val="0.650446706835653"/>
        </c:manualLayout>
      </c:layout>
      <c:lineChart>
        <c:grouping val="standard"/>
        <c:varyColors val="0"/>
        <c:ser>
          <c:idx val="0"/>
          <c:order val="0"/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extLst>
                <c:ext xmlns:c15="http://schemas.microsoft.com/office/drawing/2012/chart" uri="{02D57815-91ED-43cb-92C2-25804820EDAC}">
                  <c15:fullRef>
                    <c15:sqref>'[福州市物流景气指数（LPI）基础数据2021-2025（2025年01-12月）.xlsx]景气值指数（2024-2025）'!$N$2:$AA$2</c15:sqref>
                  </c15:fullRef>
                </c:ext>
              </c:extLst>
              <c:f>'[福州市物流景气指数（LPI）基础数据2021-2025（2025年01-12月）.xlsx]景气值指数（2024-2025）'!$O$2:$AA$2</c:f>
              <c:numCache>
                <c:formatCode>yyyy"年"m"月"</c:formatCode>
                <c:ptCount val="13"/>
                <c:pt idx="0" c:formatCode="yyyy&quot;年&quot;m&quot;月&quot;">
                  <c:v>45658</c:v>
                </c:pt>
                <c:pt idx="1" c:formatCode="yyyy&quot;年&quot;m&quot;月&quot;">
                  <c:v>45689</c:v>
                </c:pt>
                <c:pt idx="2" c:formatCode="yyyy&quot;年&quot;m&quot;月&quot;">
                  <c:v>45717</c:v>
                </c:pt>
                <c:pt idx="3" c:formatCode="yyyy&quot;年&quot;m&quot;月&quot;">
                  <c:v>45748</c:v>
                </c:pt>
                <c:pt idx="4" c:formatCode="yyyy&quot;年&quot;m&quot;月&quot;">
                  <c:v>45778</c:v>
                </c:pt>
                <c:pt idx="5" c:formatCode="yyyy&quot;年&quot;m&quot;月&quot;">
                  <c:v>45810</c:v>
                </c:pt>
                <c:pt idx="6" c:formatCode="yyyy&quot;年&quot;m&quot;月&quot;">
                  <c:v>45841</c:v>
                </c:pt>
                <c:pt idx="7" c:formatCode="yyyy&quot;年&quot;m&quot;月&quot;">
                  <c:v>45873</c:v>
                </c:pt>
                <c:pt idx="8" c:formatCode="yyyy&quot;年&quot;m&quot;月&quot;">
                  <c:v>45901</c:v>
                </c:pt>
                <c:pt idx="9" c:formatCode="yyyy&quot;年&quot;m&quot;月&quot;">
                  <c:v>45959</c:v>
                </c:pt>
                <c:pt idx="10" c:formatCode="yyyy&quot;年&quot;m&quot;月&quot;">
                  <c:v>45990</c:v>
                </c:pt>
                <c:pt idx="11" c:formatCode="yyyy&quot;年&quot;m&quot;月&quot;">
                  <c:v>46020</c:v>
                </c:pt>
                <c:pt idx="12" c:formatCode="yyyy&quot;年&quot;m&quot;月&quot;">
                  <c:v>46051</c:v>
                </c:pt>
              </c:numCache>
            </c:num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'景气值指数（2024-2025）'!$N$3:$AA$3</c15:sqref>
                  </c15:fullRef>
                </c:ext>
              </c:extLst>
              <c:f>'[福州市物流景气指数（LPI）基础数据2021-2025（2025年01-12月）.xlsx]景气值指数（2024-2025）'!$O$3:$AA$3</c:f>
              <c:numCache>
                <c:formatCode>General</c:formatCode>
                <c:ptCount val="13"/>
                <c:pt idx="0">
                  <c:v>51.5</c:v>
                </c:pt>
                <c:pt idx="1">
                  <c:v>50.7</c:v>
                </c:pt>
                <c:pt idx="2">
                  <c:v>52.3</c:v>
                </c:pt>
                <c:pt idx="3" c:formatCode="0.0_ ">
                  <c:v>52</c:v>
                </c:pt>
                <c:pt idx="4">
                  <c:v>51.2</c:v>
                </c:pt>
                <c:pt idx="5" c:formatCode="0.0">
                  <c:v>51</c:v>
                </c:pt>
                <c:pt idx="6" c:formatCode="0.0">
                  <c:v>50.68</c:v>
                </c:pt>
                <c:pt idx="7">
                  <c:v>51.2</c:v>
                </c:pt>
                <c:pt idx="8">
                  <c:v>52.8</c:v>
                </c:pt>
                <c:pt idx="9">
                  <c:v>52.4</c:v>
                </c:pt>
                <c:pt idx="10">
                  <c:v>52.7</c:v>
                </c:pt>
                <c:pt idx="11">
                  <c:v>54.1</c:v>
                </c:pt>
                <c:pt idx="12">
                  <c:v>52.1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118449152"/>
        <c:axId val="118368512"/>
      </c:lineChart>
      <c:dateAx>
        <c:axId val="118449152"/>
        <c:scaling>
          <c:orientation val="minMax"/>
        </c:scaling>
        <c:delete val="0"/>
        <c:axPos val="b"/>
        <c:numFmt formatCode="yyyy&quot;年&quot;m&quot;月&quot;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8368512"/>
        <c:crosses val="autoZero"/>
        <c:auto val="1"/>
        <c:lblOffset val="100"/>
        <c:baseTimeUnit val="months"/>
      </c:dateAx>
      <c:valAx>
        <c:axId val="118368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84491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4a347412-234e-439c-9e5c-f40d4f4f4098}"/>
      </c:ext>
    </c:extLst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659492944381869"/>
          <c:y val="0.0863687946058191"/>
          <c:w val="0.895284229073611"/>
          <c:h val="0.653443526170799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'[福州市物流景气指数（LPI）基础数据2021-2025（2025年01-12月）.xlsx]景气值指数（2024-2025）'!$O$2:$AA$2</c:f>
              <c:numCache>
                <c:formatCode>yyyy"年"m"月"</c:formatCode>
                <c:ptCount val="13"/>
                <c:pt idx="0" c:formatCode="yyyy&quot;年&quot;m&quot;月&quot;">
                  <c:v>45658</c:v>
                </c:pt>
                <c:pt idx="1" c:formatCode="yyyy&quot;年&quot;m&quot;月&quot;">
                  <c:v>45689</c:v>
                </c:pt>
                <c:pt idx="2" c:formatCode="yyyy&quot;年&quot;m&quot;月&quot;">
                  <c:v>45717</c:v>
                </c:pt>
                <c:pt idx="3" c:formatCode="yyyy&quot;年&quot;m&quot;月&quot;">
                  <c:v>45748</c:v>
                </c:pt>
                <c:pt idx="4" c:formatCode="yyyy&quot;年&quot;m&quot;月&quot;">
                  <c:v>45778</c:v>
                </c:pt>
                <c:pt idx="5" c:formatCode="yyyy&quot;年&quot;m&quot;月&quot;">
                  <c:v>45810</c:v>
                </c:pt>
                <c:pt idx="6" c:formatCode="yyyy&quot;年&quot;m&quot;月&quot;">
                  <c:v>45841</c:v>
                </c:pt>
                <c:pt idx="7" c:formatCode="yyyy&quot;年&quot;m&quot;月&quot;">
                  <c:v>45873</c:v>
                </c:pt>
                <c:pt idx="8" c:formatCode="yyyy&quot;年&quot;m&quot;月&quot;">
                  <c:v>45901</c:v>
                </c:pt>
                <c:pt idx="9" c:formatCode="yyyy&quot;年&quot;m&quot;月&quot;">
                  <c:v>45959</c:v>
                </c:pt>
                <c:pt idx="10" c:formatCode="yyyy&quot;年&quot;m&quot;月&quot;">
                  <c:v>45990</c:v>
                </c:pt>
                <c:pt idx="11" c:formatCode="yyyy&quot;年&quot;m&quot;月&quot;">
                  <c:v>46020</c:v>
                </c:pt>
                <c:pt idx="12" c:formatCode="yyyy&quot;年&quot;m&quot;月&quot;">
                  <c:v>46051</c:v>
                </c:pt>
              </c:numCache>
            </c:numRef>
          </c:cat>
          <c:val>
            <c:numRef>
              <c:f>'[福州市物流景气指数（LPI）基础数据2021-2025（2025年01-12月）.xlsx]景气值指数（2024-2025）'!$O$12:$AA$12</c:f>
              <c:numCache>
                <c:formatCode>General</c:formatCode>
                <c:ptCount val="13"/>
                <c:pt idx="0">
                  <c:v>51.5</c:v>
                </c:pt>
                <c:pt idx="1">
                  <c:v>51.4</c:v>
                </c:pt>
                <c:pt idx="2">
                  <c:v>52.2</c:v>
                </c:pt>
                <c:pt idx="3">
                  <c:v>51.7</c:v>
                </c:pt>
                <c:pt idx="4">
                  <c:v>50.3</c:v>
                </c:pt>
                <c:pt idx="5">
                  <c:v>50.2</c:v>
                </c:pt>
                <c:pt idx="6">
                  <c:v>50.5</c:v>
                </c:pt>
                <c:pt idx="7">
                  <c:v>50.8</c:v>
                </c:pt>
                <c:pt idx="8">
                  <c:v>52.3</c:v>
                </c:pt>
                <c:pt idx="9">
                  <c:v>51.9</c:v>
                </c:pt>
                <c:pt idx="10">
                  <c:v>52.5</c:v>
                </c:pt>
                <c:pt idx="11">
                  <c:v>54.1</c:v>
                </c:pt>
                <c:pt idx="12">
                  <c:v>50.8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118448128"/>
        <c:axId val="118366784"/>
      </c:lineChart>
      <c:dateAx>
        <c:axId val="118448128"/>
        <c:scaling>
          <c:orientation val="minMax"/>
        </c:scaling>
        <c:delete val="0"/>
        <c:axPos val="b"/>
        <c:numFmt formatCode="yyyy&quot;年&quot;m&quot;月&quot;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8366784"/>
        <c:crosses val="autoZero"/>
        <c:auto val="1"/>
        <c:lblOffset val="100"/>
        <c:baseTimeUnit val="months"/>
      </c:dateAx>
      <c:valAx>
        <c:axId val="118366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84481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92c7151c-dd26-491b-8dcd-cc75c263c400}"/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719402744775"/>
          <c:y val="0.153217684862822"/>
          <c:w val="0.85990798182582"/>
          <c:h val="0.589897439290677"/>
        </c:manualLayout>
      </c:layout>
      <c:lineChart>
        <c:grouping val="standard"/>
        <c:varyColors val="0"/>
        <c:ser>
          <c:idx val="0"/>
          <c:order val="0"/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extLst>
                <c:ext xmlns:c15="http://schemas.microsoft.com/office/drawing/2012/chart" uri="{02D57815-91ED-43cb-92C2-25804820EDAC}">
                  <c15:fullRef>
                    <c15:sqref>'[福州市物流景气指数（LPI）基础数据2021-2025（2025年01-12月）.xlsx]景气值指数（2024-2025）'!$N$2:$AA$2</c15:sqref>
                  </c15:fullRef>
                </c:ext>
              </c:extLst>
              <c:f>'[福州市物流景气指数（LPI）基础数据2021-2025（2025年01-12月）.xlsx]景气值指数（2024-2025）'!$O$2:$AA$2</c:f>
              <c:numCache>
                <c:formatCode>yyyy"年"m"月"</c:formatCode>
                <c:ptCount val="13"/>
                <c:pt idx="0" c:formatCode="yyyy&quot;年&quot;m&quot;月&quot;">
                  <c:v>45658</c:v>
                </c:pt>
                <c:pt idx="1" c:formatCode="yyyy&quot;年&quot;m&quot;月&quot;">
                  <c:v>45689</c:v>
                </c:pt>
                <c:pt idx="2" c:formatCode="yyyy&quot;年&quot;m&quot;月&quot;">
                  <c:v>45717</c:v>
                </c:pt>
                <c:pt idx="3" c:formatCode="yyyy&quot;年&quot;m&quot;月&quot;">
                  <c:v>45748</c:v>
                </c:pt>
                <c:pt idx="4" c:formatCode="yyyy&quot;年&quot;m&quot;月&quot;">
                  <c:v>45778</c:v>
                </c:pt>
                <c:pt idx="5" c:formatCode="yyyy&quot;年&quot;m&quot;月&quot;">
                  <c:v>45810</c:v>
                </c:pt>
                <c:pt idx="6" c:formatCode="yyyy&quot;年&quot;m&quot;月&quot;">
                  <c:v>45841</c:v>
                </c:pt>
                <c:pt idx="7" c:formatCode="yyyy&quot;年&quot;m&quot;月&quot;">
                  <c:v>45873</c:v>
                </c:pt>
                <c:pt idx="8" c:formatCode="yyyy&quot;年&quot;m&quot;月&quot;">
                  <c:v>45901</c:v>
                </c:pt>
                <c:pt idx="9" c:formatCode="yyyy&quot;年&quot;m&quot;月&quot;">
                  <c:v>45959</c:v>
                </c:pt>
                <c:pt idx="10" c:formatCode="yyyy&quot;年&quot;m&quot;月&quot;">
                  <c:v>45990</c:v>
                </c:pt>
                <c:pt idx="11" c:formatCode="yyyy&quot;年&quot;m&quot;月&quot;">
                  <c:v>46020</c:v>
                </c:pt>
                <c:pt idx="12" c:formatCode="yyyy&quot;年&quot;m&quot;月&quot;">
                  <c:v>46051</c:v>
                </c:pt>
              </c:numCache>
            </c:num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'景气值指数（2024-2025）'!$N$13:$AA$13</c15:sqref>
                  </c15:fullRef>
                </c:ext>
              </c:extLst>
              <c:f>'[福州市物流景气指数（LPI）基础数据2021-2025（2025年01-12月）.xlsx]景气值指数（2024-2025）'!$O$13:$AA$13</c:f>
              <c:numCache>
                <c:formatCode>General</c:formatCode>
                <c:ptCount val="13"/>
                <c:pt idx="0">
                  <c:v>51.5</c:v>
                </c:pt>
                <c:pt idx="1">
                  <c:v>50.5</c:v>
                </c:pt>
                <c:pt idx="2">
                  <c:v>51.6</c:v>
                </c:pt>
                <c:pt idx="3">
                  <c:v>50.4</c:v>
                </c:pt>
                <c:pt idx="4">
                  <c:v>51.8</c:v>
                </c:pt>
                <c:pt idx="5">
                  <c:v>51.3</c:v>
                </c:pt>
                <c:pt idx="6">
                  <c:v>50.2</c:v>
                </c:pt>
                <c:pt idx="7">
                  <c:v>50.5</c:v>
                </c:pt>
                <c:pt idx="8">
                  <c:v>53.4</c:v>
                </c:pt>
                <c:pt idx="9">
                  <c:v>52.3</c:v>
                </c:pt>
                <c:pt idx="10">
                  <c:v>52.4</c:v>
                </c:pt>
                <c:pt idx="11">
                  <c:v>53.5</c:v>
                </c:pt>
                <c:pt idx="12">
                  <c:v>52.3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118449664"/>
        <c:axId val="118370240"/>
      </c:lineChart>
      <c:dateAx>
        <c:axId val="118449664"/>
        <c:scaling>
          <c:orientation val="minMax"/>
        </c:scaling>
        <c:delete val="0"/>
        <c:axPos val="b"/>
        <c:numFmt formatCode="yyyy&quot;年&quot;m&quot;月&quot;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8370240"/>
        <c:crosses val="autoZero"/>
        <c:auto val="1"/>
        <c:lblOffset val="100"/>
        <c:baseTimeUnit val="months"/>
      </c:dateAx>
      <c:valAx>
        <c:axId val="118370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84496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13dcb1db-fda0-40b7-ab7c-a1d894b94be5}"/>
      </c:ext>
    </c:extLst>
  </c:chart>
  <c:spPr>
    <a:solidFill>
      <a:schemeClr val="bg1"/>
    </a:solidFill>
    <a:ln w="9525" cap="flat" cmpd="sng" algn="ctr">
      <a:solidFill>
        <a:schemeClr val="bg1"/>
      </a:solidFill>
      <a:prstDash val="solid"/>
      <a:round/>
    </a:ln>
    <a:effectLst/>
  </c:spPr>
  <c:txPr>
    <a:bodyPr/>
    <a:lstStyle/>
    <a:p>
      <a:pPr>
        <a:defRPr lang="zh-CN" sz="1100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acrossLinear" id="2">
  <a:schemeClr val="accent1"/>
  <a:schemeClr val="accent2"/>
  <a:schemeClr val="accent3"/>
  <a:schemeClr val="accent4"/>
  <a:schemeClr val="accent5"/>
  <a:schemeClr val="accent6"/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1308</Words>
  <Characters>1692</Characters>
  <Lines>0</Lines>
  <Paragraphs>0</Paragraphs>
  <TotalTime>5</TotalTime>
  <ScaleCrop>false</ScaleCrop>
  <LinksUpToDate>false</LinksUpToDate>
  <CharactersWithSpaces>1713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2025-05-31T19:40:00Z</dcterms:created>
  <dc:creator>WPS_1675910448</dc:creator>
  <cp:lastModifiedBy>郑亚议</cp:lastModifiedBy>
  <cp:lastPrinted>2025-12-26T19:57:00Z</cp:lastPrinted>
  <dcterms:modified xsi:type="dcterms:W3CDTF">2026-05-15T09:15:26Z</dcterms:modified>
  <dc:title>2025年5月份福州市物流业景气指数（LPI）情况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59B4DD2DD0644B7B956016ACCD9477A6_13</vt:lpwstr>
  </property>
  <property fmtid="{D5CDD505-2E9C-101B-9397-08002B2CF9AE}" pid="4" name="KSOTemplateDocerSaveRecord">
    <vt:lpwstr>eyJoZGlkIjoiMzEwNTM5NzYwMDRjMzkwZTVkZjY2ODkwMGIxNGU0OTUiLCJ1c2VySWQiOiI3MDgzMDQzMDIifQ==</vt:lpwstr>
  </property>
</Properties>
</file>