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月份福州市物流业景气指数情况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</w:t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4305935</wp:posOffset>
            </wp:positionV>
            <wp:extent cx="5621020" cy="3009265"/>
            <wp:effectExtent l="4445" t="4445" r="13335" b="15240"/>
            <wp:wrapTopAndBottom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hint="default" w:ascii="仿宋_GB2312" w:hAnsi="Times New Roman" w:eastAsia="仿宋_GB2312"/>
          <w:sz w:val="32"/>
          <w:szCs w:val="32"/>
          <w:lang w:val="en"/>
        </w:rPr>
        <w:t>2023</w:t>
      </w:r>
      <w:r>
        <w:rPr>
          <w:rFonts w:hint="eastAsia" w:ascii="仿宋_GB2312" w:hAnsi="Times New Roman" w:eastAsia="仿宋_GB2312"/>
          <w:sz w:val="32"/>
          <w:szCs w:val="32"/>
          <w:lang w:val="en" w:eastAsia="zh-CN"/>
        </w:rPr>
        <w:t>年</w:t>
      </w:r>
      <w:r>
        <w:rPr>
          <w:rFonts w:hint="eastAsia" w:ascii="仿宋_GB2312" w:hAnsi="Times New Roman" w:eastAsia="仿宋_GB2312"/>
          <w:sz w:val="32"/>
          <w:szCs w:val="32"/>
        </w:rPr>
        <w:t>2月份，</w:t>
      </w:r>
      <w:r>
        <w:rPr>
          <w:rFonts w:hint="eastAsia" w:ascii="仿宋_GB2312" w:hAnsi="仿宋" w:eastAsia="仿宋_GB2312"/>
          <w:sz w:val="32"/>
          <w:szCs w:val="32"/>
        </w:rPr>
        <w:t>在节后生产经营活动迅速恢复、稳经济政策效果持续显现、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开展“抓效能、强作风、促落实”活动</w:t>
      </w:r>
      <w:r>
        <w:rPr>
          <w:rFonts w:hint="eastAsia" w:ascii="仿宋_GB2312" w:hAnsi="仿宋" w:eastAsia="仿宋_GB2312"/>
          <w:sz w:val="32"/>
          <w:szCs w:val="32"/>
        </w:rPr>
        <w:t>等多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方</w:t>
      </w:r>
      <w:r>
        <w:rPr>
          <w:rFonts w:hint="eastAsia" w:ascii="仿宋_GB2312" w:hAnsi="仿宋" w:eastAsia="仿宋_GB2312"/>
          <w:sz w:val="32"/>
          <w:szCs w:val="32"/>
        </w:rPr>
        <w:t>因素推动下，</w:t>
      </w:r>
      <w:r>
        <w:rPr>
          <w:rFonts w:hint="eastAsia" w:ascii="仿宋_GB2312" w:hAnsi="Times New Roman" w:eastAsia="仿宋_GB2312"/>
          <w:sz w:val="32"/>
          <w:szCs w:val="32"/>
        </w:rPr>
        <w:t>福州市</w:t>
      </w:r>
      <w:r>
        <w:rPr>
          <w:rFonts w:hint="eastAsia" w:ascii="仿宋_GB2312" w:hAnsi="仿宋" w:eastAsia="仿宋_GB2312"/>
          <w:sz w:val="32"/>
          <w:szCs w:val="32"/>
        </w:rPr>
        <w:t>物流业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景气指数（LPI）实现快速回升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比</w:t>
      </w:r>
      <w:r>
        <w:rPr>
          <w:rFonts w:hint="eastAsia" w:ascii="仿宋_GB2312" w:hAnsi="Times New Roman" w:eastAsia="仿宋_GB2312"/>
          <w:sz w:val="32"/>
          <w:szCs w:val="32"/>
        </w:rPr>
        <w:t>上月回升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个百分点，为51.2%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见图1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。12个单项指数“六升六降”：主营业务利润指数上升幅度最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Times New Roman" w:eastAsia="仿宋_GB2312"/>
          <w:sz w:val="32"/>
          <w:szCs w:val="32"/>
        </w:rPr>
        <w:t>，上升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个百分点，其次是业务总量指数上升2.1个百分点，再次是新订单指数上升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个百分点；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物流</w:t>
      </w:r>
      <w:r>
        <w:rPr>
          <w:rFonts w:hint="eastAsia" w:ascii="仿宋_GB2312" w:hAnsi="Times New Roman" w:eastAsia="仿宋_GB2312"/>
          <w:sz w:val="32"/>
          <w:szCs w:val="32"/>
        </w:rPr>
        <w:t>固定资产投资完成额指数、从业人员指数、主营业务成本指数（逆指标）三项指标均上升0.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个百分点；其余平均库存量、库存周转次数、设备利用率等六项指数均有不同程度下降，指数降幅在0.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至0.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个百分点之间（见表）。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图1  2021-2023年分月福州市物流业景气指数（LPI）走势图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计量单位：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%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1977"/>
        <w:gridCol w:w="1794"/>
        <w:gridCol w:w="20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2023年2月（%）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2023年1月（%）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环比增减（%）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50.2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39.7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39.1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45.3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41.3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42.0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53.9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54.4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50.6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48.2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40.5</w:t>
            </w:r>
          </w:p>
        </w:tc>
        <w:tc>
          <w:tcPr>
            <w:tcW w:w="2063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表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2023年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月福州市物流业景气指数（LPI）环比变化情况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物流市场需求明显回升。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2月份，福州市新订单指数为5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%，比上月回升1.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个百分点，是连续四个月指数徘徊在50.6%-51.8%景气区间后，重回52.0%以上</w:t>
      </w:r>
      <w:r>
        <w:rPr>
          <w:rFonts w:hint="eastAsia" w:ascii="仿宋_GB2312" w:hAnsi="Times New Roman" w:eastAsia="仿宋_GB2312"/>
          <w:b w:val="0"/>
          <w:sz w:val="32"/>
          <w:szCs w:val="32"/>
        </w:rPr>
        <w:t>景气区间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分行业看，主要是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多式联运和运输代理业新订单指数为5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%，回升2.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个百分点；运输业新订单指数为53.3%，与上月持平；装卸搬运和仓储业新订单指数为4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%，回落8.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分A级企业看，主要是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5A级企业新订单指数回升1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个百分点，为5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%；4A级企业新订单指数回升2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个百分点，为5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%；3A级企业新订单指数回落8.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个百分点，为5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物流企业经营活动快速回升。</w:t>
      </w:r>
      <w:r>
        <w:rPr>
          <w:rFonts w:hint="eastAsia" w:ascii="仿宋_GB2312" w:hAnsi="Times New Roman" w:eastAsia="仿宋_GB2312"/>
          <w:sz w:val="32"/>
          <w:szCs w:val="32"/>
        </w:rPr>
        <w:t>2月份，福州市业务总量指数为50.3%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见图2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，比上月回升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个百分点，重回50.0%以上景气区间。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Times New Roman" w:eastAsia="仿宋_GB2312"/>
          <w:sz w:val="32"/>
          <w:szCs w:val="32"/>
        </w:rPr>
        <w:t>多式联运和运输代理业业务总量指数为</w:t>
      </w:r>
      <w:r>
        <w:rPr>
          <w:rFonts w:ascii="仿宋_GB2312" w:hAnsi="Times New Roman" w:eastAsia="仿宋_GB2312"/>
          <w:sz w:val="32"/>
          <w:szCs w:val="32"/>
        </w:rPr>
        <w:t>56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%，回升1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.8个百分点；运输业业务总量指数为48.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%，回落1.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个百分点；装卸搬运和仓储业业务总量指数为4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%，回落</w:t>
      </w: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个百分点。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Times New Roman" w:eastAsia="仿宋_GB2312"/>
          <w:sz w:val="32"/>
          <w:szCs w:val="32"/>
        </w:rPr>
        <w:t>5A级企业业务总量指数回升</w:t>
      </w:r>
      <w:r>
        <w:rPr>
          <w:rFonts w:ascii="仿宋_GB2312" w:hAnsi="Times New Roman" w:eastAsia="仿宋_GB2312"/>
          <w:sz w:val="32"/>
          <w:szCs w:val="32"/>
        </w:rPr>
        <w:t>15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47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%；4A级企业业务总量指数回升2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个百分点，为5</w:t>
      </w: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%；3A级企业业务总量指数回落8.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个百分点，为4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/>
          <w:b/>
          <w:bCs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146050</wp:posOffset>
            </wp:positionV>
            <wp:extent cx="5580380" cy="2381250"/>
            <wp:effectExtent l="4445" t="4445" r="15875" b="1460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2022年-</w:t>
      </w:r>
      <w:r>
        <w:rPr>
          <w:rFonts w:ascii="仿宋_GB2312" w:hAnsi="Times New Roman" w:eastAsia="仿宋_GB2312"/>
          <w:b/>
          <w:bCs/>
          <w:sz w:val="28"/>
          <w:szCs w:val="28"/>
        </w:rPr>
        <w:t>2023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年分月业务总量指数走势图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物流就业状况稳中有增。</w:t>
      </w:r>
      <w:r>
        <w:rPr>
          <w:rFonts w:hint="eastAsia" w:ascii="仿宋_GB2312" w:hAnsi="Times New Roman" w:eastAsia="仿宋_GB2312"/>
          <w:sz w:val="32"/>
          <w:szCs w:val="32"/>
        </w:rPr>
        <w:t>2月份，福州市从业人员指数为55.0%，比上月回升0.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Times New Roman" w:eastAsia="仿宋_GB2312"/>
          <w:sz w:val="32"/>
          <w:szCs w:val="32"/>
        </w:rPr>
        <w:t>多式联运和运输代理业从业人员指数为5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%，回升4.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个百分点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/>
          <w:sz w:val="32"/>
          <w:szCs w:val="32"/>
        </w:rPr>
        <w:t>运输业从业人员指数为5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%，回升0.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个百分点；装卸搬运和仓储业从业人员指数为</w:t>
      </w:r>
      <w:r>
        <w:rPr>
          <w:rFonts w:ascii="仿宋_GB2312" w:hAnsi="Times New Roman" w:eastAsia="仿宋_GB2312"/>
          <w:sz w:val="32"/>
          <w:szCs w:val="32"/>
        </w:rPr>
        <w:t>55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%，回升3.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Times New Roman" w:eastAsia="仿宋_GB2312"/>
          <w:sz w:val="32"/>
          <w:szCs w:val="32"/>
        </w:rPr>
        <w:t>5A级企业从业人员指数回落2.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49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%；4A级企业从业人员指数回落5.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43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/>
          <w:sz w:val="32"/>
          <w:szCs w:val="32"/>
        </w:rPr>
        <w:t>3A级企业从业人员指数回升1.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个百分点，为5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资金周转率指数小幅回落。</w:t>
      </w:r>
      <w:r>
        <w:rPr>
          <w:rFonts w:hint="eastAsia" w:ascii="仿宋_GB2312" w:hAnsi="Times New Roman" w:eastAsia="仿宋_GB2312"/>
          <w:sz w:val="32"/>
          <w:szCs w:val="32"/>
        </w:rPr>
        <w:t>2月份，福州市资金周转率指数为52.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%，比上月回落0.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个百分点，但仍位于扩张景气区间，表明企业资金保持正常周转。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物流服务价格指数小幅回落，主营业务利润回升幅度高于主营业务成本指数，物流经营效益有所好转。</w:t>
      </w:r>
      <w:r>
        <w:rPr>
          <w:rFonts w:hint="eastAsia" w:ascii="仿宋_GB2312" w:hAnsi="Times New Roman" w:eastAsia="仿宋_GB2312"/>
          <w:sz w:val="32"/>
          <w:szCs w:val="32"/>
        </w:rPr>
        <w:t>2月份，主营业务成本指数（逆指标）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比上月</w:t>
      </w:r>
      <w:r>
        <w:rPr>
          <w:rFonts w:hint="eastAsia" w:ascii="仿宋_GB2312" w:hAnsi="Times New Roman" w:eastAsia="仿宋_GB2312"/>
          <w:sz w:val="32"/>
          <w:szCs w:val="32"/>
        </w:rPr>
        <w:t>回升0.6个百分点，为5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%；而主营业务利润指数比上月回升4.8个百分点，为4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%，回升幅度高于成本指数4.2个百分点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利润指数仍然位于50.0%的荣枯线以下，反映物流企业经营效益虽然有所好转，但是盈利水平仍偏弱，经营压力仍持续存在。物流服务价格指数比上月回落0.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个百分点，为53.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平均库存量和库存周转次数指数双双回落。</w:t>
      </w:r>
      <w:r>
        <w:rPr>
          <w:rFonts w:hint="eastAsia" w:ascii="仿宋_GB2312" w:hAnsi="Times New Roman" w:eastAsia="仿宋_GB2312"/>
          <w:sz w:val="32"/>
          <w:szCs w:val="32"/>
        </w:rPr>
        <w:t>2月份，平均库存量指数为4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%，比上月回落0.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个百分点，反映出上游企业处于去库存化阶段，流通环节库存积压有所下降；库存周转次数指数为4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%，较上月回落0.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个百分点，反映商品周转情况有所减缓。两项指数双双回落，反映出供应链上下游物流业务活动有所减弱。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此外，福州市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物流</w:t>
      </w:r>
      <w:r>
        <w:rPr>
          <w:rFonts w:hint="eastAsia" w:ascii="仿宋_GB2312" w:hAnsi="Times New Roman" w:eastAsia="仿宋_GB2312"/>
          <w:sz w:val="32"/>
          <w:szCs w:val="32"/>
        </w:rPr>
        <w:t>固定资产投资完成额指数较上月回升0.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39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表明全市正加快物流企业项目推进力度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从后期走势看，福州市业务活动预期指数较上月回落0.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个百分点，为53.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%；新订单指数较上月回升1.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个百分点，为5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%，两者仍位于扩张景气区间，表明在经济运行回升向好的背景下，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物流业也将保持经营势头向好态势。</w:t>
      </w:r>
    </w:p>
    <w:p>
      <w:pPr>
        <w:widowControl/>
        <w:spacing w:line="24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NotTrackMoves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47606E8"/>
    <w:rsid w:val="0EB616D0"/>
    <w:rsid w:val="142718EA"/>
    <w:rsid w:val="156E7B63"/>
    <w:rsid w:val="15C446A5"/>
    <w:rsid w:val="19F01FE9"/>
    <w:rsid w:val="2012124E"/>
    <w:rsid w:val="218F1533"/>
    <w:rsid w:val="29B71947"/>
    <w:rsid w:val="30D34724"/>
    <w:rsid w:val="322E3BE4"/>
    <w:rsid w:val="33516BCC"/>
    <w:rsid w:val="3CD75501"/>
    <w:rsid w:val="3D3D4415"/>
    <w:rsid w:val="41B8211C"/>
    <w:rsid w:val="49FD11D8"/>
    <w:rsid w:val="4ED2570C"/>
    <w:rsid w:val="50832461"/>
    <w:rsid w:val="5CF6B71C"/>
    <w:rsid w:val="60DB07F5"/>
    <w:rsid w:val="61C2296E"/>
    <w:rsid w:val="626543C4"/>
    <w:rsid w:val="63C63088"/>
    <w:rsid w:val="64922D58"/>
    <w:rsid w:val="69181A33"/>
    <w:rsid w:val="6FFF5C95"/>
    <w:rsid w:val="70125253"/>
    <w:rsid w:val="731260AA"/>
    <w:rsid w:val="743E1B69"/>
    <w:rsid w:val="78EF7B38"/>
    <w:rsid w:val="7AF93FAC"/>
    <w:rsid w:val="7B441D18"/>
    <w:rsid w:val="7DF727F6"/>
    <w:rsid w:val="7F7F4300"/>
    <w:rsid w:val="7FECC258"/>
    <w:rsid w:val="B9FF5B30"/>
    <w:rsid w:val="CFFD5F49"/>
    <w:rsid w:val="E3D1A16C"/>
    <w:rsid w:val="FAFB2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3&#24180;2&#26376;&#29289;&#27969;&#19994;&#26223;&#27668;&#35843;&#26597;&#32479;&#35745;&#20449;&#24687;&#34920;&#32463;&#2798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3&#24180;2&#26376;&#29289;&#27969;&#19994;&#26223;&#27668;&#35843;&#26597;&#32479;&#35745;&#20449;&#24687;&#34920;&#32463;&#279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true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2021</a:t>
            </a:r>
            <a:r>
              <a:rPr lang="zh-CN" altLang="en-US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－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2023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年分月物流业景气指数（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LPI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）走势图（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%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）</a:t>
            </a:r>
            <a:endParaRPr lang="zh-CN" altLang="zh-CN" sz="1200" b="1">
              <a:solidFill>
                <a:sysClr val="windowText" lastClr="000000"/>
              </a:solidFill>
              <a:effectLst/>
              <a:latin typeface="+mn-ea"/>
              <a:ea typeface="+mn-ea"/>
            </a:endParaRPr>
          </a:p>
        </c:rich>
      </c:tx>
      <c:layout>
        <c:manualLayout>
          <c:xMode val="edge"/>
          <c:yMode val="edge"/>
          <c:x val="0.191202391235006"/>
          <c:y val="0.0347394540942928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132800693491296"/>
          <c:y val="0.138947656356851"/>
          <c:w val="0.815387661772136"/>
          <c:h val="0.622773294777359"/>
        </c:manualLayout>
      </c:layout>
      <c:lineChart>
        <c:grouping val="standard"/>
        <c:varyColors val="false"/>
        <c:ser>
          <c:idx val="0"/>
          <c:order val="0"/>
          <c:tx>
            <c:strRef>
              <c:f>'2021-2023图表 '!$A$4</c:f>
              <c:strCache>
                <c:ptCount val="1"/>
                <c:pt idx="0">
                  <c:v>2023年1月-2021年12月物流业景气指数（LPI）走势图（%）</c:v>
                </c:pt>
              </c:strCache>
            </c:strRef>
          </c:tx>
          <c:dLbls>
            <c:dLbl>
              <c:idx val="0"/>
              <c:layout>
                <c:manualLayout>
                  <c:x val="-0.0237234523271577"/>
                  <c:y val="-0.0275341627574954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55851784907366"/>
                  <c:y val="0.030593514174994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52507907817442"/>
                  <c:y val="0.01223740566999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21961138725712"/>
                  <c:y val="-0.0275341627574954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288070492544058"/>
                  <c:y val="-0.0214154599224964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2028920018075"/>
                  <c:y val="-0.024474811339995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03343877089923"/>
                  <c:y val="0.018356108504996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135562584726615"/>
                  <c:y val="0.01529675708749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372797107998193"/>
                  <c:y val="-0.018356108504996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0237234523271577"/>
                  <c:y val="0.024474811339995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022028920018075"/>
                  <c:y val="0.036712217009993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0.00508359692724808"/>
                  <c:y val="0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0.022028920018075"/>
                  <c:y val="0.030593514174994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0.022028920018075"/>
                  <c:y val="-0.0367122170099939"/>
                </c:manualLayout>
              </c:layout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true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0.00338906461816539"/>
                  <c:y val="-0.0091780542524984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0.00677812923633077"/>
                  <c:y val="0.0091780542524984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'2021-2023图表 '!$B$3:$U$3</c:f>
              <c:numCache>
                <c:formatCode>yyyy"年"m"月"</c:formatCode>
                <c:ptCount val="20"/>
                <c:pt idx="0" c:formatCode="yyyy&quot;年&quot;m&quot;月&quot;">
                  <c:v>44958</c:v>
                </c:pt>
                <c:pt idx="1" c:formatCode="yyyy&quot;年&quot;m&quot;月&quot;">
                  <c:v>44927</c:v>
                </c:pt>
                <c:pt idx="2" c:formatCode="yyyy&quot;年&quot;m&quot;月&quot;">
                  <c:v>44896</c:v>
                </c:pt>
                <c:pt idx="3" c:formatCode="yyyy&quot;年&quot;m&quot;月&quot;">
                  <c:v>44866</c:v>
                </c:pt>
                <c:pt idx="4" c:formatCode="yyyy&quot;年&quot;m&quot;月&quot;">
                  <c:v>44835</c:v>
                </c:pt>
                <c:pt idx="5" c:formatCode="yyyy&quot;年&quot;m&quot;月&quot;">
                  <c:v>44805</c:v>
                </c:pt>
                <c:pt idx="6" c:formatCode="yyyy&quot;年&quot;m&quot;月&quot;">
                  <c:v>44774</c:v>
                </c:pt>
                <c:pt idx="7" c:formatCode="yyyy&quot;年&quot;m&quot;月&quot;">
                  <c:v>44743</c:v>
                </c:pt>
                <c:pt idx="8" c:formatCode="yyyy&quot;年&quot;m&quot;月&quot;">
                  <c:v>44713</c:v>
                </c:pt>
                <c:pt idx="9" c:formatCode="yyyy&quot;年&quot;m&quot;月&quot;">
                  <c:v>44682</c:v>
                </c:pt>
                <c:pt idx="10" c:formatCode="yyyy&quot;年&quot;m&quot;月&quot;">
                  <c:v>44652</c:v>
                </c:pt>
                <c:pt idx="11" c:formatCode="yyyy&quot;年&quot;m&quot;月&quot;">
                  <c:v>44621</c:v>
                </c:pt>
                <c:pt idx="12" c:formatCode="yyyy&quot;年&quot;m&quot;月&quot;">
                  <c:v>44593</c:v>
                </c:pt>
                <c:pt idx="13" c:formatCode="yyyy&quot;年&quot;m&quot;月&quot;">
                  <c:v>44562</c:v>
                </c:pt>
                <c:pt idx="14" c:formatCode="yyyy&quot;年&quot;m&quot;月&quot;">
                  <c:v>44531</c:v>
                </c:pt>
                <c:pt idx="15" c:formatCode="yyyy&quot;年&quot;m&quot;月&quot;">
                  <c:v>44502</c:v>
                </c:pt>
                <c:pt idx="16" c:formatCode="yyyy&quot;年&quot;m&quot;月&quot;">
                  <c:v>44470</c:v>
                </c:pt>
                <c:pt idx="17" c:formatCode="yyyy&quot;年&quot;m&quot;月&quot;">
                  <c:v>44440</c:v>
                </c:pt>
                <c:pt idx="18" c:formatCode="yyyy&quot;年&quot;m&quot;月&quot;">
                  <c:v>44409</c:v>
                </c:pt>
                <c:pt idx="19" c:formatCode="yyyy&quot;年&quot;m&quot;月&quot;">
                  <c:v>44378</c:v>
                </c:pt>
              </c:numCache>
            </c:numRef>
          </c:cat>
          <c:val>
            <c:numRef>
              <c:f>'2021-2023图表 '!$B$4:$U$4</c:f>
              <c:numCache>
                <c:formatCode>0.0_ </c:formatCode>
                <c:ptCount val="20"/>
                <c:pt idx="0">
                  <c:v>51.1843030991613</c:v>
                </c:pt>
                <c:pt idx="1">
                  <c:v>50.2</c:v>
                </c:pt>
                <c:pt idx="2">
                  <c:v>51.2</c:v>
                </c:pt>
                <c:pt idx="3">
                  <c:v>51.4</c:v>
                </c:pt>
                <c:pt idx="4">
                  <c:v>51.2</c:v>
                </c:pt>
                <c:pt idx="5">
                  <c:v>52.2</c:v>
                </c:pt>
                <c:pt idx="6">
                  <c:v>52.1</c:v>
                </c:pt>
                <c:pt idx="7">
                  <c:v>51.6</c:v>
                </c:pt>
                <c:pt idx="8">
                  <c:v>52.6</c:v>
                </c:pt>
                <c:pt idx="9">
                  <c:v>52.6</c:v>
                </c:pt>
                <c:pt idx="10">
                  <c:v>52</c:v>
                </c:pt>
                <c:pt idx="11">
                  <c:v>53.2</c:v>
                </c:pt>
                <c:pt idx="12">
                  <c:v>52.9</c:v>
                </c:pt>
                <c:pt idx="13">
                  <c:v>53.2</c:v>
                </c:pt>
                <c:pt idx="14">
                  <c:v>53.4</c:v>
                </c:pt>
                <c:pt idx="15">
                  <c:v>53.5</c:v>
                </c:pt>
                <c:pt idx="16">
                  <c:v>52.8</c:v>
                </c:pt>
                <c:pt idx="17">
                  <c:v>52.6</c:v>
                </c:pt>
                <c:pt idx="18">
                  <c:v>52.6</c:v>
                </c:pt>
                <c:pt idx="19">
                  <c:v>52.7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36467968"/>
        <c:axId val="136469504"/>
      </c:lineChart>
      <c:dateAx>
        <c:axId val="136467968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6469504"/>
        <c:crosses val="autoZero"/>
        <c:auto val="true"/>
        <c:lblOffset val="100"/>
        <c:baseTimeUnit val="months"/>
      </c:dateAx>
      <c:valAx>
        <c:axId val="136469504"/>
        <c:scaling>
          <c:orientation val="minMax"/>
          <c:max val="54"/>
          <c:min val="50"/>
        </c:scaling>
        <c:delete val="false"/>
        <c:axPos val="l"/>
        <c:majorGridlines/>
        <c:numFmt formatCode="0.0_ " sourceLinked="true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6467968"/>
        <c:crosses val="autoZero"/>
        <c:crossBetween val="between"/>
        <c:majorUnit val="0.1"/>
      </c:valAx>
      <c:spPr>
        <a:noFill/>
        <a:ln w="25400">
          <a:noFill/>
        </a:ln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>
                <a:latin typeface="+mn-ea"/>
                <a:ea typeface="+mn-ea"/>
              </a:rPr>
              <a:t>业务总量指数（</a:t>
            </a:r>
            <a:r>
              <a:rPr lang="en-US" altLang="zh-CN">
                <a:latin typeface="+mn-ea"/>
                <a:ea typeface="+mn-ea"/>
              </a:rPr>
              <a:t>%</a:t>
            </a:r>
            <a:r>
              <a:rPr lang="zh-CN" altLang="en-US">
                <a:latin typeface="+mn-ea"/>
                <a:ea typeface="+mn-ea"/>
              </a:rPr>
              <a:t>）</a:t>
            </a:r>
            <a:endParaRPr lang="zh-CN" altLang="en-US">
              <a:latin typeface="+mn-ea"/>
              <a:ea typeface="+mn-ea"/>
            </a:endParaRPr>
          </a:p>
        </c:rich>
      </c:tx>
      <c:layout/>
      <c:overlay val="false"/>
    </c:title>
    <c:autoTitleDeleted val="false"/>
    <c:plotArea>
      <c:layout>
        <c:manualLayout>
          <c:layoutTarget val="inner"/>
          <c:xMode val="edge"/>
          <c:yMode val="edge"/>
          <c:x val="0.131285117645444"/>
          <c:y val="0.153709653906754"/>
          <c:w val="0.798883907374406"/>
          <c:h val="0.492835903754487"/>
        </c:manualLayout>
      </c:layout>
      <c:lineChart>
        <c:grouping val="standard"/>
        <c:varyColors val="false"/>
        <c:ser>
          <c:idx val="0"/>
          <c:order val="0"/>
          <c:tx>
            <c:strRef>
              <c:f>'2021-2023图表 '!$A$126</c:f>
              <c:strCache>
                <c:ptCount val="1"/>
                <c:pt idx="0">
                  <c:v>业务总量指数（%）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'2021-2023图表 '!$H$125:$U$125</c:f>
              <c:numCache>
                <c:formatCode>yyyy"年"m"月"</c:formatCode>
                <c:ptCount val="14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44776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  <c:pt idx="12" c:formatCode="yyyy&quot;年&quot;m&quot;月&quot;">
                  <c:v>44929</c:v>
                </c:pt>
                <c:pt idx="13" c:formatCode="yyyy&quot;年&quot;m&quot;月&quot;">
                  <c:v>44960</c:v>
                </c:pt>
              </c:numCache>
            </c:numRef>
          </c:cat>
          <c:val>
            <c:numRef>
              <c:f>'2021-2023图表 '!$H$126:$U$126</c:f>
              <c:numCache>
                <c:formatCode>0.0_ </c:formatCode>
                <c:ptCount val="14"/>
                <c:pt idx="0">
                  <c:v>51.7</c:v>
                </c:pt>
                <c:pt idx="1">
                  <c:v>51.5</c:v>
                </c:pt>
                <c:pt idx="2">
                  <c:v>51.5</c:v>
                </c:pt>
                <c:pt idx="3">
                  <c:v>49.8</c:v>
                </c:pt>
                <c:pt idx="4">
                  <c:v>51.6</c:v>
                </c:pt>
                <c:pt idx="5">
                  <c:v>52.8</c:v>
                </c:pt>
                <c:pt idx="6">
                  <c:v>51.7</c:v>
                </c:pt>
                <c:pt idx="7">
                  <c:v>52.2</c:v>
                </c:pt>
                <c:pt idx="8">
                  <c:v>51.6</c:v>
                </c:pt>
                <c:pt idx="9">
                  <c:v>50.7</c:v>
                </c:pt>
                <c:pt idx="10">
                  <c:v>51.2</c:v>
                </c:pt>
                <c:pt idx="11">
                  <c:v>50.3</c:v>
                </c:pt>
                <c:pt idx="12">
                  <c:v>48.2</c:v>
                </c:pt>
                <c:pt idx="13">
                  <c:v>50.2645502645504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38270976"/>
        <c:axId val="138358784"/>
      </c:lineChart>
      <c:dateAx>
        <c:axId val="138270976"/>
        <c:scaling>
          <c:orientation val="minMax"/>
        </c:scaling>
        <c:delete val="false"/>
        <c:axPos val="b"/>
        <c:numFmt formatCode="yyyy&quot;年&quot;mm&quot;月&quot;" sourceLinked="fals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8358784"/>
        <c:crosses val="autoZero"/>
        <c:auto val="true"/>
        <c:lblOffset val="100"/>
        <c:baseTimeUnit val="months"/>
      </c:dateAx>
      <c:valAx>
        <c:axId val="138358784"/>
        <c:scaling>
          <c:orientation val="minMax"/>
        </c:scaling>
        <c:delete val="false"/>
        <c:axPos val="l"/>
        <c:majorGridlines/>
        <c:numFmt formatCode="0.0_ 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8270976"/>
        <c:crosses val="autoZero"/>
        <c:crossBetween val="between"/>
      </c:valAx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1670</Words>
  <Characters>2068</Characters>
  <Lines>42</Lines>
  <Paragraphs>12</Paragraphs>
  <TotalTime>11</TotalTime>
  <ScaleCrop>false</ScaleCrop>
  <LinksUpToDate>false</LinksUpToDate>
  <CharactersWithSpaces>2077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2021-08-20T18:40:00Z</dcterms:created>
  <dc:creator>微软用户</dc:creator>
  <cp:lastModifiedBy>杨杰</cp:lastModifiedBy>
  <dcterms:modified xsi:type="dcterms:W3CDTF">2023-04-20T11:13:34Z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E340863A18754798A793C4035C8A294B</vt:lpwstr>
  </property>
</Properties>
</file>