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2022年1-4季度福州市物流业景气指数（LPI）情况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今年以来，面对疫情挑战，全市高效统筹疫情防控，采取多种措施推动物流业持续稳定运行。全市物流业景气指数（LPI)各月均保持在51.0%以上，平均值为52.2%。分季看，一季度物流业景气指数平均值最高，为53.1%；二季度平均值52.4%，好于三季度平均值52.0%；四季度平均值最低，为51.3%，高低差为1.8个百分点。物流业运行一、二季度表现较为活跃，全年总体呈稳中趋缓走势（见图1）。</w:t>
      </w:r>
    </w:p>
    <w:p>
      <w:pPr>
        <w:spacing w:line="480" w:lineRule="auto"/>
        <w:jc w:val="center"/>
        <w:rPr>
          <w:rFonts w:cs="Arial" w:asciiTheme="majorEastAsia" w:hAnsiTheme="majorEastAsia" w:eastAsiaTheme="majorEastAsia"/>
          <w:b/>
          <w:kern w:val="0"/>
          <w:sz w:val="24"/>
          <w:szCs w:val="24"/>
        </w:rPr>
      </w:pPr>
      <w:r>
        <w:drawing>
          <wp:inline distT="0" distB="0" distL="0" distR="0">
            <wp:extent cx="5274310" cy="4299585"/>
            <wp:effectExtent l="4445" t="4445" r="17145" b="2032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图1  2022年1-12月物流业景气指数（LPI)走势图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（一）物流经营活动保持平稳。1-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4季度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物流业务总量指数平均值为51.4%。其中，一季度平均值51.6%，二季度平均值51.4%，三季度平均值51.8%，四季度平均值50.7%。分月看，4月份受疫情影响明显，指数回落至50%荣枯线以下，为全年最低点49.8%；随着稳经济政策效果逐步显现，5月、6月指数持续回升，至6月份达今年以来的最高点，为52.8%；三、四季度分月指数稳中趋缓（见图2）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drawing>
          <wp:inline distT="0" distB="0" distL="0" distR="0">
            <wp:extent cx="5274310" cy="2366645"/>
            <wp:effectExtent l="5080" t="4445" r="16510" b="1016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图2 2022年1-12月业务总量指数走势图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（二）物流就业指数保持高位。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1-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4季度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，从业人员指数各月均保持在54.0%以上高位景气区间，平均值为55.3%。分季看，一季度平均值55.3%；二季度平均值55.5%；三季度平均值55.6%；四季度平均值54.9%（见图3）。</w:t>
      </w:r>
    </w:p>
    <w:p>
      <w:pPr>
        <w:spacing w:line="480" w:lineRule="auto"/>
        <w:rPr>
          <w:rFonts w:ascii="宋体" w:hAnsi="宋体" w:eastAsia="宋体" w:cs="宋体"/>
          <w:kern w:val="0"/>
          <w:sz w:val="28"/>
          <w:szCs w:val="28"/>
        </w:rPr>
      </w:pPr>
      <w:r>
        <w:drawing>
          <wp:inline distT="0" distB="0" distL="0" distR="0">
            <wp:extent cx="5448300" cy="2095500"/>
            <wp:effectExtent l="4445" t="4445" r="14605" b="1460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图3  2022年1-12月从业人员指数走势图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（三）利润指数起伏较大，成本指数保持高位，利润指数与成本指数差距仍较大，企业盈利能力不高。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1-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4季度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主营业务成本指数各月均处于52.0%以上高位区间，平均值为56.8%；主营业务利润指数起伏较大，有11个月处于50.0%荣枯线以下,仅5月份为53.1%，平均值为44.6%；低于主营业务成本平均指数12.2个百分点，物流企业经营仍未走出“高成本、低效益”境况（见图4）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drawing>
          <wp:inline distT="0" distB="0" distL="0" distR="0">
            <wp:extent cx="5657850" cy="2247900"/>
            <wp:effectExtent l="4445" t="4445" r="14605" b="1460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图4  2022年1-12月主营业务成本指数、主营业务利润指数走势图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（四）资金周转率指数逐季走缓，资金环境总体良好。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1-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4季度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资金周转率指数各月均保持在52.0%以上运行，平均值为54.0%。其中，一季度平均值56.0%，二季度平均值54.5%，三季度平均值52.8%，四季度平均值53.0%。分月看，指数由1月的56.1%高点逐月下行至12月的低点52.8%，表明资金利用环境虽总体仍较宽松，但企业流动资金运用效率有所回落（见图5）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drawing>
          <wp:inline distT="0" distB="0" distL="0" distR="0">
            <wp:extent cx="5274310" cy="1695450"/>
            <wp:effectExtent l="4445" t="4445" r="17145" b="14605"/>
            <wp:docPr id="18" name="图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图5  2022年1-12月资金周转率指数走势图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（五）物流业将保持平稳发展走势。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1-4季度，新订单指数各月均处于51.0%以上景气区间，平均值为52.4%。分季看，一、二、三、四季度新订单指数平均值分别为53.3%、52.4%、52.2%和51.6%；业务活动预期指数各月均处于52.0%以上景气区间，平均值为54.7%。分季看，一、二、三、四季度业务活动预期指数平均值分别为57.2%、55.0%、53.3%和53.4%，表明企业对市场保持较乐观预期（见图6）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drawing>
          <wp:inline distT="0" distB="0" distL="0" distR="0">
            <wp:extent cx="5534025" cy="2200275"/>
            <wp:effectExtent l="4445" t="4445" r="5080" b="5080"/>
            <wp:docPr id="17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jc w:val="both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图6 2022年1-12月新订单指数、业务活动预期指数走势图</w:t>
      </w:r>
    </w:p>
    <w:p>
      <w:pPr>
        <w:jc w:val="center"/>
        <w:rPr>
          <w:rFonts w:hint="eastAsia" w:cs="Arial" w:asciiTheme="majorEastAsia" w:hAnsiTheme="majorEastAsia" w:eastAsiaTheme="majorEastAsia"/>
          <w:b/>
          <w:kern w:val="0"/>
          <w:szCs w:val="21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608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wMmQ0NWJkNzQ2ZDc5NDcyZGJhZGQ0Zjc4ZTRhYmMifQ=="/>
  </w:docVars>
  <w:rsids>
    <w:rsidRoot w:val="006E11D8"/>
    <w:rsid w:val="00004BCE"/>
    <w:rsid w:val="000122FF"/>
    <w:rsid w:val="000160C2"/>
    <w:rsid w:val="00031FE0"/>
    <w:rsid w:val="00033B17"/>
    <w:rsid w:val="00065F83"/>
    <w:rsid w:val="00092722"/>
    <w:rsid w:val="00093750"/>
    <w:rsid w:val="000B1A91"/>
    <w:rsid w:val="000C6C91"/>
    <w:rsid w:val="000D0C29"/>
    <w:rsid w:val="000D7128"/>
    <w:rsid w:val="000E1747"/>
    <w:rsid w:val="000F08B6"/>
    <w:rsid w:val="000F2F07"/>
    <w:rsid w:val="000F75C9"/>
    <w:rsid w:val="00111822"/>
    <w:rsid w:val="00112C3C"/>
    <w:rsid w:val="001155F2"/>
    <w:rsid w:val="00143CD1"/>
    <w:rsid w:val="00150736"/>
    <w:rsid w:val="0016030E"/>
    <w:rsid w:val="0017098F"/>
    <w:rsid w:val="0018219B"/>
    <w:rsid w:val="00190284"/>
    <w:rsid w:val="001A5CA2"/>
    <w:rsid w:val="001C219B"/>
    <w:rsid w:val="001C7FB2"/>
    <w:rsid w:val="001D5654"/>
    <w:rsid w:val="001E6867"/>
    <w:rsid w:val="00204958"/>
    <w:rsid w:val="002071DF"/>
    <w:rsid w:val="00207363"/>
    <w:rsid w:val="0023032B"/>
    <w:rsid w:val="002348F4"/>
    <w:rsid w:val="00242F59"/>
    <w:rsid w:val="002655E4"/>
    <w:rsid w:val="00271710"/>
    <w:rsid w:val="002736C7"/>
    <w:rsid w:val="00275E66"/>
    <w:rsid w:val="0028328A"/>
    <w:rsid w:val="00290D96"/>
    <w:rsid w:val="002B71BF"/>
    <w:rsid w:val="002D6000"/>
    <w:rsid w:val="002F565E"/>
    <w:rsid w:val="002F663E"/>
    <w:rsid w:val="00314682"/>
    <w:rsid w:val="00320C97"/>
    <w:rsid w:val="00334AFB"/>
    <w:rsid w:val="00335D72"/>
    <w:rsid w:val="00364E58"/>
    <w:rsid w:val="003703A8"/>
    <w:rsid w:val="00370920"/>
    <w:rsid w:val="00372908"/>
    <w:rsid w:val="00375ACE"/>
    <w:rsid w:val="003C4D99"/>
    <w:rsid w:val="003D2D46"/>
    <w:rsid w:val="003D3878"/>
    <w:rsid w:val="003D5F18"/>
    <w:rsid w:val="003E0381"/>
    <w:rsid w:val="003E1F9C"/>
    <w:rsid w:val="003E5856"/>
    <w:rsid w:val="003F1014"/>
    <w:rsid w:val="004118E9"/>
    <w:rsid w:val="004222C9"/>
    <w:rsid w:val="004525BA"/>
    <w:rsid w:val="00494B5D"/>
    <w:rsid w:val="004B24D2"/>
    <w:rsid w:val="004C136F"/>
    <w:rsid w:val="004C5B6B"/>
    <w:rsid w:val="004E2E0E"/>
    <w:rsid w:val="004F7253"/>
    <w:rsid w:val="00502137"/>
    <w:rsid w:val="00503B76"/>
    <w:rsid w:val="0052138A"/>
    <w:rsid w:val="0052642C"/>
    <w:rsid w:val="005269C9"/>
    <w:rsid w:val="00542C49"/>
    <w:rsid w:val="00542ECB"/>
    <w:rsid w:val="00550DB7"/>
    <w:rsid w:val="00575276"/>
    <w:rsid w:val="0057752A"/>
    <w:rsid w:val="00585FF1"/>
    <w:rsid w:val="00587CBE"/>
    <w:rsid w:val="00593F4E"/>
    <w:rsid w:val="00594250"/>
    <w:rsid w:val="005C2B63"/>
    <w:rsid w:val="005D271B"/>
    <w:rsid w:val="005E0F37"/>
    <w:rsid w:val="005E39E9"/>
    <w:rsid w:val="005F0322"/>
    <w:rsid w:val="00602998"/>
    <w:rsid w:val="00605E44"/>
    <w:rsid w:val="006175BE"/>
    <w:rsid w:val="00621068"/>
    <w:rsid w:val="0063605F"/>
    <w:rsid w:val="00661CB4"/>
    <w:rsid w:val="00683F07"/>
    <w:rsid w:val="0069051F"/>
    <w:rsid w:val="00695A03"/>
    <w:rsid w:val="006A1617"/>
    <w:rsid w:val="006A35F4"/>
    <w:rsid w:val="006B023D"/>
    <w:rsid w:val="006C248C"/>
    <w:rsid w:val="006C66A3"/>
    <w:rsid w:val="006D1336"/>
    <w:rsid w:val="006D528D"/>
    <w:rsid w:val="006D6434"/>
    <w:rsid w:val="006E11D8"/>
    <w:rsid w:val="00700992"/>
    <w:rsid w:val="00717A9F"/>
    <w:rsid w:val="0073788E"/>
    <w:rsid w:val="00744507"/>
    <w:rsid w:val="00762625"/>
    <w:rsid w:val="0076521A"/>
    <w:rsid w:val="0077351F"/>
    <w:rsid w:val="007760A8"/>
    <w:rsid w:val="00780B2F"/>
    <w:rsid w:val="00781695"/>
    <w:rsid w:val="0078349B"/>
    <w:rsid w:val="00796541"/>
    <w:rsid w:val="007B3659"/>
    <w:rsid w:val="007E01F5"/>
    <w:rsid w:val="007F02FB"/>
    <w:rsid w:val="00807212"/>
    <w:rsid w:val="008411E4"/>
    <w:rsid w:val="00843013"/>
    <w:rsid w:val="00847EF2"/>
    <w:rsid w:val="00856B14"/>
    <w:rsid w:val="00872ACE"/>
    <w:rsid w:val="008764FC"/>
    <w:rsid w:val="00882556"/>
    <w:rsid w:val="00884285"/>
    <w:rsid w:val="008900E5"/>
    <w:rsid w:val="00895089"/>
    <w:rsid w:val="008B1842"/>
    <w:rsid w:val="008C2FF9"/>
    <w:rsid w:val="008D1EFB"/>
    <w:rsid w:val="008E5DD9"/>
    <w:rsid w:val="0091218E"/>
    <w:rsid w:val="00914027"/>
    <w:rsid w:val="00915093"/>
    <w:rsid w:val="00931004"/>
    <w:rsid w:val="00935958"/>
    <w:rsid w:val="00935D5B"/>
    <w:rsid w:val="00936670"/>
    <w:rsid w:val="0095199B"/>
    <w:rsid w:val="00954085"/>
    <w:rsid w:val="00954751"/>
    <w:rsid w:val="009734DC"/>
    <w:rsid w:val="00991F2C"/>
    <w:rsid w:val="00995B4D"/>
    <w:rsid w:val="009A59F1"/>
    <w:rsid w:val="009B0F22"/>
    <w:rsid w:val="009D3272"/>
    <w:rsid w:val="009F01BC"/>
    <w:rsid w:val="009F2D69"/>
    <w:rsid w:val="009F388B"/>
    <w:rsid w:val="00A155AD"/>
    <w:rsid w:val="00A26B9A"/>
    <w:rsid w:val="00A37708"/>
    <w:rsid w:val="00A40C29"/>
    <w:rsid w:val="00A473BB"/>
    <w:rsid w:val="00A52781"/>
    <w:rsid w:val="00A64249"/>
    <w:rsid w:val="00A72DF7"/>
    <w:rsid w:val="00A73FC7"/>
    <w:rsid w:val="00A84027"/>
    <w:rsid w:val="00AA062B"/>
    <w:rsid w:val="00AA43BA"/>
    <w:rsid w:val="00AB14CE"/>
    <w:rsid w:val="00AD223C"/>
    <w:rsid w:val="00AD3D2A"/>
    <w:rsid w:val="00AD7D60"/>
    <w:rsid w:val="00AE2224"/>
    <w:rsid w:val="00AF2A63"/>
    <w:rsid w:val="00B07177"/>
    <w:rsid w:val="00B544FC"/>
    <w:rsid w:val="00B57835"/>
    <w:rsid w:val="00B65703"/>
    <w:rsid w:val="00BB23BA"/>
    <w:rsid w:val="00BB7B87"/>
    <w:rsid w:val="00BB7CAC"/>
    <w:rsid w:val="00BC63BF"/>
    <w:rsid w:val="00BC7F43"/>
    <w:rsid w:val="00BD5848"/>
    <w:rsid w:val="00C2633F"/>
    <w:rsid w:val="00C31118"/>
    <w:rsid w:val="00C656BC"/>
    <w:rsid w:val="00C70052"/>
    <w:rsid w:val="00C82D81"/>
    <w:rsid w:val="00C8677F"/>
    <w:rsid w:val="00C87873"/>
    <w:rsid w:val="00C94C05"/>
    <w:rsid w:val="00CB37DB"/>
    <w:rsid w:val="00CC244F"/>
    <w:rsid w:val="00CD05C0"/>
    <w:rsid w:val="00CE0327"/>
    <w:rsid w:val="00CE3ADF"/>
    <w:rsid w:val="00D04429"/>
    <w:rsid w:val="00D142A7"/>
    <w:rsid w:val="00D20232"/>
    <w:rsid w:val="00D25C15"/>
    <w:rsid w:val="00D2778A"/>
    <w:rsid w:val="00D34A9E"/>
    <w:rsid w:val="00D35546"/>
    <w:rsid w:val="00D35B9A"/>
    <w:rsid w:val="00D41416"/>
    <w:rsid w:val="00D43D6B"/>
    <w:rsid w:val="00D61F1C"/>
    <w:rsid w:val="00D62506"/>
    <w:rsid w:val="00D75780"/>
    <w:rsid w:val="00D8550D"/>
    <w:rsid w:val="00DA1AE5"/>
    <w:rsid w:val="00DB085C"/>
    <w:rsid w:val="00DD1968"/>
    <w:rsid w:val="00DD2252"/>
    <w:rsid w:val="00DD3580"/>
    <w:rsid w:val="00DE6DC1"/>
    <w:rsid w:val="00DF0262"/>
    <w:rsid w:val="00DF6FBE"/>
    <w:rsid w:val="00DF74AD"/>
    <w:rsid w:val="00DF7BFE"/>
    <w:rsid w:val="00E03869"/>
    <w:rsid w:val="00E15820"/>
    <w:rsid w:val="00E1691E"/>
    <w:rsid w:val="00E53749"/>
    <w:rsid w:val="00E53A96"/>
    <w:rsid w:val="00E8445F"/>
    <w:rsid w:val="00E86C84"/>
    <w:rsid w:val="00E9332E"/>
    <w:rsid w:val="00ED0BDF"/>
    <w:rsid w:val="00EF2F64"/>
    <w:rsid w:val="00F13FA3"/>
    <w:rsid w:val="00F5375E"/>
    <w:rsid w:val="00F62C7F"/>
    <w:rsid w:val="00F93852"/>
    <w:rsid w:val="00FC1C41"/>
    <w:rsid w:val="00FC1E72"/>
    <w:rsid w:val="00FF3B6C"/>
    <w:rsid w:val="0BC0719B"/>
    <w:rsid w:val="1265024F"/>
    <w:rsid w:val="14522278"/>
    <w:rsid w:val="14CC2615"/>
    <w:rsid w:val="15910B7E"/>
    <w:rsid w:val="1DB87350"/>
    <w:rsid w:val="1FEFB10B"/>
    <w:rsid w:val="22247E13"/>
    <w:rsid w:val="2E032D0A"/>
    <w:rsid w:val="30D93EFB"/>
    <w:rsid w:val="3B5F0C86"/>
    <w:rsid w:val="3F172F77"/>
    <w:rsid w:val="43BA6083"/>
    <w:rsid w:val="4E6A373F"/>
    <w:rsid w:val="4F0869F6"/>
    <w:rsid w:val="57915F2B"/>
    <w:rsid w:val="57963A53"/>
    <w:rsid w:val="6E961E37"/>
    <w:rsid w:val="709F70F9"/>
    <w:rsid w:val="77147FEE"/>
    <w:rsid w:val="77DB5DDA"/>
    <w:rsid w:val="78B90F53"/>
    <w:rsid w:val="9F7BED78"/>
    <w:rsid w:val="AD7EEE29"/>
    <w:rsid w:val="E5DF27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9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9289;&#27969;&#21327;&#20250;\&#31119;&#24030;&#24066;&#29289;&#27969;&#34892;&#19994;&#26223;&#27668;\202212\&#31119;&#24030;&#24066;2022&#24180;12&#26376;&#29289;&#27969;&#19994;&#26223;&#27668;&#35843;&#26597;&#32479;&#35745;&#20449;&#24687;&#34920;&#32463;&#2798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119;&#24030;&#24066;2022&#24180;12&#26376;&#29289;&#27969;&#19994;&#26223;&#27668;&#35843;&#26597;&#32479;&#35745;&#20449;&#24687;&#34920;&#32463;&#2798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119;&#24030;&#24066;2022&#24180;12&#26376;&#29289;&#27969;&#19994;&#26223;&#27668;&#35843;&#26597;&#32479;&#35745;&#20449;&#24687;&#34920;&#32463;&#2798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119;&#24030;&#24066;2022&#24180;12&#26376;&#29289;&#27969;&#19994;&#26223;&#27668;&#35843;&#26597;&#32479;&#35745;&#20449;&#24687;&#34920;&#32463;&#27982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119;&#24030;&#24066;2022&#24180;12&#26376;&#29289;&#27969;&#19994;&#26223;&#27668;&#35843;&#26597;&#32479;&#35745;&#20449;&#24687;&#34920;&#32463;&#27982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119;&#24030;&#24066;2022&#24180;12&#26376;&#29289;&#27969;&#19994;&#26223;&#27668;&#35843;&#26597;&#32479;&#35745;&#20449;&#24687;&#34920;&#32463;&#2798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2022</a:t>
            </a:r>
            <a:r>
              <a:rPr lang="zh-CN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年</a:t>
            </a:r>
            <a:r>
              <a:rPr lang="en-US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1-12</a:t>
            </a:r>
            <a:r>
              <a:rPr lang="zh-CN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月物流业景气指数（</a:t>
            </a:r>
            <a:r>
              <a:rPr lang="en-US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LPI</a:t>
            </a:r>
            <a:r>
              <a:rPr lang="zh-CN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）走势图（</a:t>
            </a:r>
            <a:r>
              <a:rPr lang="en-US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%</a:t>
            </a:r>
            <a:r>
              <a:rPr lang="zh-CN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）</a:t>
            </a:r>
            <a:endParaRPr lang="zh-CN" altLang="zh-CN" sz="1200" b="1">
              <a:solidFill>
                <a:sysClr val="windowText" lastClr="000000"/>
              </a:solidFill>
              <a:effectLst/>
              <a:latin typeface="+mn-ea"/>
              <a:ea typeface="+mn-ea"/>
            </a:endParaRPr>
          </a:p>
        </c:rich>
      </c:tx>
      <c:layout>
        <c:manualLayout>
          <c:xMode val="edge"/>
          <c:yMode val="edge"/>
          <c:x val="0.201797581105396"/>
          <c:y val="0.024375380865326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8456186143181"/>
          <c:y val="0.157894831945419"/>
          <c:w val="0.815915199042922"/>
          <c:h val="0.707237268088854"/>
        </c:manualLayout>
      </c:layout>
      <c:lineChart>
        <c:grouping val="standard"/>
        <c:varyColors val="0"/>
        <c:ser>
          <c:idx val="0"/>
          <c:order val="0"/>
          <c:tx>
            <c:strRef>
              <c:f>'2021-2022图表 '!$A$4</c:f>
              <c:strCache>
                <c:ptCount val="1"/>
                <c:pt idx="0">
                  <c:v>2022年1月-2021年12月物流业景气指数（LPI）走势图（%）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'2021-2022图表 '!$B$3:$M$3</c:f>
              <c:numCache>
                <c:formatCode>yyyy"年"m"月"</c:formatCode>
                <c:ptCount val="12"/>
                <c:pt idx="0" c:formatCode="yyyy&quot;年&quot;m&quot;月&quot;">
                  <c:v>44896</c:v>
                </c:pt>
                <c:pt idx="1" c:formatCode="yyyy&quot;年&quot;m&quot;月&quot;">
                  <c:v>44866</c:v>
                </c:pt>
                <c:pt idx="2" c:formatCode="yyyy&quot;年&quot;m&quot;月&quot;">
                  <c:v>44835</c:v>
                </c:pt>
                <c:pt idx="3" c:formatCode="yyyy&quot;年&quot;m&quot;月&quot;">
                  <c:v>44805</c:v>
                </c:pt>
                <c:pt idx="4" c:formatCode="yyyy&quot;年&quot;m&quot;月&quot;">
                  <c:v>44774</c:v>
                </c:pt>
                <c:pt idx="5" c:formatCode="yyyy&quot;年&quot;m&quot;月&quot;">
                  <c:v>44743</c:v>
                </c:pt>
                <c:pt idx="6" c:formatCode="yyyy&quot;年&quot;m&quot;月&quot;">
                  <c:v>44713</c:v>
                </c:pt>
                <c:pt idx="7" c:formatCode="yyyy&quot;年&quot;m&quot;月&quot;">
                  <c:v>44682</c:v>
                </c:pt>
                <c:pt idx="8" c:formatCode="yyyy&quot;年&quot;m&quot;月&quot;">
                  <c:v>44652</c:v>
                </c:pt>
                <c:pt idx="9" c:formatCode="yyyy&quot;年&quot;m&quot;月&quot;">
                  <c:v>44621</c:v>
                </c:pt>
                <c:pt idx="10" c:formatCode="yyyy&quot;年&quot;m&quot;月&quot;">
                  <c:v>44593</c:v>
                </c:pt>
                <c:pt idx="11" c:formatCode="yyyy&quot;年&quot;m&quot;月&quot;">
                  <c:v>44562</c:v>
                </c:pt>
              </c:numCache>
            </c:numRef>
          </c:cat>
          <c:val>
            <c:numRef>
              <c:f>'2021-2022图表 '!$B$4:$M$4</c:f>
              <c:numCache>
                <c:formatCode>0.0_ </c:formatCode>
                <c:ptCount val="12"/>
                <c:pt idx="0">
                  <c:v>51.199</c:v>
                </c:pt>
                <c:pt idx="1">
                  <c:v>51.4</c:v>
                </c:pt>
                <c:pt idx="2">
                  <c:v>51.2</c:v>
                </c:pt>
                <c:pt idx="3">
                  <c:v>52.2</c:v>
                </c:pt>
                <c:pt idx="4">
                  <c:v>52.1</c:v>
                </c:pt>
                <c:pt idx="5">
                  <c:v>51.6</c:v>
                </c:pt>
                <c:pt idx="6">
                  <c:v>52.6</c:v>
                </c:pt>
                <c:pt idx="7">
                  <c:v>52.6</c:v>
                </c:pt>
                <c:pt idx="8">
                  <c:v>52</c:v>
                </c:pt>
                <c:pt idx="9">
                  <c:v>53.2</c:v>
                </c:pt>
                <c:pt idx="10">
                  <c:v>52.9</c:v>
                </c:pt>
                <c:pt idx="11">
                  <c:v>53.2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6703456"/>
        <c:axId val="1"/>
      </c:lineChart>
      <c:dateAx>
        <c:axId val="606703456"/>
        <c:scaling>
          <c:orientation val="minMax"/>
        </c:scaling>
        <c:delete val="0"/>
        <c:axPos val="b"/>
        <c:numFmt formatCode="yyyy&quot;年&quot;m&quot;月&quot;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"/>
        <c:crosses val="autoZero"/>
        <c:auto val="1"/>
        <c:lblOffset val="100"/>
        <c:baseTimeUnit val="months"/>
      </c:dateAx>
      <c:valAx>
        <c:axId val="1"/>
        <c:scaling>
          <c:orientation val="minMax"/>
          <c:max val="54"/>
          <c:min val="5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6703456"/>
        <c:crosses val="autoZero"/>
        <c:crossBetween val="between"/>
        <c:majorUnit val="0.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20051722405395"/>
          <c:y val="0.032197477864234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200" b="1" i="0" u="none" strike="noStrike" kern="1200" baseline="0">
              <a:solidFill>
                <a:sysClr val="windowText" lastClr="000000"/>
              </a:solidFill>
              <a:latin typeface="+mn-ea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131285117645444"/>
          <c:y val="0.184143452464949"/>
          <c:w val="0.798883907374406"/>
          <c:h val="0.401535028291625"/>
        </c:manualLayout>
      </c:layout>
      <c:lineChart>
        <c:grouping val="standard"/>
        <c:varyColors val="0"/>
        <c:ser>
          <c:idx val="0"/>
          <c:order val="0"/>
          <c:tx>
            <c:strRef>
              <c:f>'2021-2022图表 '!$A$126</c:f>
              <c:strCache>
                <c:ptCount val="1"/>
                <c:pt idx="0">
                  <c:v>业务总量指数（%）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'2021-2022图表 '!$H$125:$S$125</c:f>
              <c:numCache>
                <c:formatCode>yyyy"年"m"月"</c:formatCode>
                <c:ptCount val="12"/>
                <c:pt idx="0" c:formatCode="yyyy&quot;年&quot;m&quot;月&quot;">
                  <c:v>44564</c:v>
                </c:pt>
                <c:pt idx="1" c:formatCode="yyyy&quot;年&quot;m&quot;月&quot;">
                  <c:v>44596</c:v>
                </c:pt>
                <c:pt idx="2" c:formatCode="yyyy&quot;年&quot;m&quot;月&quot;">
                  <c:v>44623</c:v>
                </c:pt>
                <c:pt idx="3" c:formatCode="yyyy&quot;年&quot;m&quot;月&quot;">
                  <c:v>44654</c:v>
                </c:pt>
                <c:pt idx="4" c:formatCode="yyyy&quot;年&quot;m&quot;月&quot;">
                  <c:v>44685</c:v>
                </c:pt>
                <c:pt idx="5" c:formatCode="yyyy&quot;年&quot;m&quot;月&quot;">
                  <c:v>44715</c:v>
                </c:pt>
                <c:pt idx="6" c:formatCode="yyyy&quot;年&quot;m&quot;月&quot;">
                  <c:v>44745</c:v>
                </c:pt>
                <c:pt idx="7" c:formatCode="yyyy&quot;年&quot;m&quot;月&quot;">
                  <c:v>44776</c:v>
                </c:pt>
                <c:pt idx="8" c:formatCode="yyyy&quot;年&quot;m&quot;月&quot;">
                  <c:v>44807</c:v>
                </c:pt>
                <c:pt idx="9" c:formatCode="yyyy&quot;年&quot;m&quot;月&quot;">
                  <c:v>44838</c:v>
                </c:pt>
                <c:pt idx="10" c:formatCode="yyyy&quot;年&quot;m&quot;月&quot;">
                  <c:v>44868</c:v>
                </c:pt>
                <c:pt idx="11" c:formatCode="yyyy&quot;年&quot;m&quot;月&quot;">
                  <c:v>44898</c:v>
                </c:pt>
              </c:numCache>
            </c:numRef>
          </c:cat>
          <c:val>
            <c:numRef>
              <c:f>'2021-2022图表 '!$H$126:$S$126</c:f>
              <c:numCache>
                <c:formatCode>0.0_ </c:formatCode>
                <c:ptCount val="12"/>
                <c:pt idx="0">
                  <c:v>51.7</c:v>
                </c:pt>
                <c:pt idx="1">
                  <c:v>51.5</c:v>
                </c:pt>
                <c:pt idx="2">
                  <c:v>51.5</c:v>
                </c:pt>
                <c:pt idx="3">
                  <c:v>49.8</c:v>
                </c:pt>
                <c:pt idx="4">
                  <c:v>51.6</c:v>
                </c:pt>
                <c:pt idx="5">
                  <c:v>52.8</c:v>
                </c:pt>
                <c:pt idx="6">
                  <c:v>51.7</c:v>
                </c:pt>
                <c:pt idx="7">
                  <c:v>52.2</c:v>
                </c:pt>
                <c:pt idx="8">
                  <c:v>51.6</c:v>
                </c:pt>
                <c:pt idx="9">
                  <c:v>50.7</c:v>
                </c:pt>
                <c:pt idx="10">
                  <c:v>51.2</c:v>
                </c:pt>
                <c:pt idx="11">
                  <c:v>50.314465408805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678976"/>
        <c:axId val="96739328"/>
      </c:lineChart>
      <c:dateAx>
        <c:axId val="91678976"/>
        <c:scaling>
          <c:orientation val="minMax"/>
        </c:scaling>
        <c:delete val="0"/>
        <c:axPos val="b"/>
        <c:numFmt formatCode="yyyy&quot;年&quot;mm&quot;月&quot;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6739328"/>
        <c:crosses val="autoZero"/>
        <c:auto val="1"/>
        <c:lblOffset val="100"/>
        <c:baseTimeUnit val="months"/>
      </c:dateAx>
      <c:valAx>
        <c:axId val="96739328"/>
        <c:scaling>
          <c:orientation val="minMax"/>
        </c:scaling>
        <c:delete val="0"/>
        <c:axPos val="l"/>
        <c:majorGridlines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16789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03196437069494"/>
          <c:y val="0.039087947882736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200" b="1" i="0" u="none" strike="noStrike" kern="1200" baseline="0">
              <a:solidFill>
                <a:schemeClr val="tx1"/>
              </a:solidFill>
              <a:latin typeface="+mn-ea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111471935105054"/>
          <c:y val="0.191344495614633"/>
          <c:w val="0.783550301126786"/>
          <c:h val="0.469249596388266"/>
        </c:manualLayout>
      </c:layout>
      <c:lineChart>
        <c:grouping val="standard"/>
        <c:varyColors val="0"/>
        <c:ser>
          <c:idx val="0"/>
          <c:order val="0"/>
          <c:tx>
            <c:strRef>
              <c:f>'2021-2022图表 '!$A$128</c:f>
              <c:strCache>
                <c:ptCount val="1"/>
                <c:pt idx="0">
                  <c:v>从业人员指数（%）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'2021-2022图表 '!$H$127:$S$127</c:f>
              <c:numCache>
                <c:formatCode>yyyy"年"m"月"</c:formatCode>
                <c:ptCount val="12"/>
                <c:pt idx="0" c:formatCode="yyyy&quot;年&quot;m&quot;月&quot;">
                  <c:v>44564</c:v>
                </c:pt>
                <c:pt idx="1" c:formatCode="yyyy&quot;年&quot;m&quot;月&quot;">
                  <c:v>44596</c:v>
                </c:pt>
                <c:pt idx="2" c:formatCode="yyyy&quot;年&quot;m&quot;月&quot;">
                  <c:v>44623</c:v>
                </c:pt>
                <c:pt idx="3" c:formatCode="yyyy&quot;年&quot;m&quot;月&quot;">
                  <c:v>44654</c:v>
                </c:pt>
                <c:pt idx="4" c:formatCode="yyyy&quot;年&quot;m&quot;月&quot;">
                  <c:v>44685</c:v>
                </c:pt>
                <c:pt idx="5" c:formatCode="yyyy&quot;年&quot;m&quot;月&quot;">
                  <c:v>44715</c:v>
                </c:pt>
                <c:pt idx="6" c:formatCode="yyyy&quot;年&quot;m&quot;月&quot;">
                  <c:v>44745</c:v>
                </c:pt>
                <c:pt idx="7" c:formatCode="yyyy&quot;年&quot;m&quot;月&quot;">
                  <c:v>44776</c:v>
                </c:pt>
                <c:pt idx="8" c:formatCode="yyyy&quot;年&quot;m&quot;月&quot;">
                  <c:v>44807</c:v>
                </c:pt>
                <c:pt idx="9" c:formatCode="yyyy&quot;年&quot;m&quot;月&quot;">
                  <c:v>44838</c:v>
                </c:pt>
                <c:pt idx="10" c:formatCode="yyyy&quot;年&quot;m&quot;月&quot;">
                  <c:v>44868</c:v>
                </c:pt>
                <c:pt idx="11" c:formatCode="yyyy&quot;年&quot;m&quot;月&quot;">
                  <c:v>44898</c:v>
                </c:pt>
              </c:numCache>
            </c:numRef>
          </c:cat>
          <c:val>
            <c:numRef>
              <c:f>'2021-2022图表 '!$H$128:$S$128</c:f>
              <c:numCache>
                <c:formatCode>0.0_ </c:formatCode>
                <c:ptCount val="12"/>
                <c:pt idx="0">
                  <c:v>55.5</c:v>
                </c:pt>
                <c:pt idx="1">
                  <c:v>55.1</c:v>
                </c:pt>
                <c:pt idx="2">
                  <c:v>55.2</c:v>
                </c:pt>
                <c:pt idx="3">
                  <c:v>55.3</c:v>
                </c:pt>
                <c:pt idx="4">
                  <c:v>55</c:v>
                </c:pt>
                <c:pt idx="5">
                  <c:v>56.3</c:v>
                </c:pt>
                <c:pt idx="6">
                  <c:v>55.6</c:v>
                </c:pt>
                <c:pt idx="7">
                  <c:v>55.7</c:v>
                </c:pt>
                <c:pt idx="8">
                  <c:v>55.6</c:v>
                </c:pt>
                <c:pt idx="9">
                  <c:v>55</c:v>
                </c:pt>
                <c:pt idx="10">
                  <c:v>54.8</c:v>
                </c:pt>
                <c:pt idx="11">
                  <c:v>54.9886621315193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760576"/>
        <c:axId val="96762112"/>
      </c:lineChart>
      <c:catAx>
        <c:axId val="96760576"/>
        <c:scaling>
          <c:orientation val="minMax"/>
        </c:scaling>
        <c:delete val="0"/>
        <c:axPos val="b"/>
        <c:numFmt formatCode="yyyy&quot;年&quot;mm&quot;月&quot;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6762112"/>
        <c:crosses val="autoZero"/>
        <c:auto val="0"/>
        <c:lblAlgn val="ctr"/>
        <c:lblOffset val="100"/>
        <c:noMultiLvlLbl val="0"/>
      </c:catAx>
      <c:valAx>
        <c:axId val="96762112"/>
        <c:scaling>
          <c:orientation val="minMax"/>
        </c:scaling>
        <c:delete val="0"/>
        <c:axPos val="l"/>
        <c:majorGridlines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67605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66088799966284"/>
          <c:y val="0.109689238372577"/>
          <c:w val="0.853933649029085"/>
          <c:h val="0.446783594110822"/>
        </c:manualLayout>
      </c:layout>
      <c:lineChart>
        <c:grouping val="standard"/>
        <c:varyColors val="0"/>
        <c:ser>
          <c:idx val="1"/>
          <c:order val="0"/>
          <c:tx>
            <c:strRef>
              <c:f>'2021-2022图表 '!$A$135</c:f>
              <c:strCache>
                <c:ptCount val="1"/>
                <c:pt idx="0">
                  <c:v>主营业务成本指数（%）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'2021-2022图表 '!$H$134:$S$134</c:f>
              <c:numCache>
                <c:formatCode>yyyy"年"m"月"</c:formatCode>
                <c:ptCount val="12"/>
                <c:pt idx="0" c:formatCode="yyyy&quot;年&quot;m&quot;月&quot;">
                  <c:v>44564</c:v>
                </c:pt>
                <c:pt idx="1" c:formatCode="yyyy&quot;年&quot;m&quot;月&quot;">
                  <c:v>44596</c:v>
                </c:pt>
                <c:pt idx="2" c:formatCode="yyyy&quot;年&quot;m&quot;月&quot;">
                  <c:v>44623</c:v>
                </c:pt>
                <c:pt idx="3" c:formatCode="yyyy&quot;年&quot;m&quot;月&quot;">
                  <c:v>44654</c:v>
                </c:pt>
                <c:pt idx="4" c:formatCode="yyyy&quot;年&quot;m&quot;月&quot;">
                  <c:v>44685</c:v>
                </c:pt>
                <c:pt idx="5" c:formatCode="yyyy&quot;年&quot;m&quot;月&quot;">
                  <c:v>44715</c:v>
                </c:pt>
                <c:pt idx="6" c:formatCode="yyyy&quot;年&quot;m&quot;月&quot;">
                  <c:v>44745</c:v>
                </c:pt>
                <c:pt idx="7" c:formatCode="yyyy&quot;年&quot;m&quot;月&quot;">
                  <c:v>44776</c:v>
                </c:pt>
                <c:pt idx="8" c:formatCode="yyyy&quot;年&quot;m&quot;月&quot;">
                  <c:v>44807</c:v>
                </c:pt>
                <c:pt idx="9" c:formatCode="yyyy&quot;年&quot;m&quot;月&quot;">
                  <c:v>44838</c:v>
                </c:pt>
                <c:pt idx="10" c:formatCode="yyyy&quot;年&quot;m&quot;月&quot;">
                  <c:v>44868</c:v>
                </c:pt>
                <c:pt idx="11" c:formatCode="yyyy&quot;年&quot;m&quot;月&quot;">
                  <c:v>44898</c:v>
                </c:pt>
              </c:numCache>
            </c:numRef>
          </c:cat>
          <c:val>
            <c:numRef>
              <c:f>'2021-2022图表 '!$H$135:$S$135</c:f>
              <c:numCache>
                <c:formatCode>0.0_ </c:formatCode>
                <c:ptCount val="12"/>
                <c:pt idx="0">
                  <c:v>60.5</c:v>
                </c:pt>
                <c:pt idx="1">
                  <c:v>55</c:v>
                </c:pt>
                <c:pt idx="2">
                  <c:v>59.5</c:v>
                </c:pt>
                <c:pt idx="3">
                  <c:v>58.3</c:v>
                </c:pt>
                <c:pt idx="4">
                  <c:v>58.7</c:v>
                </c:pt>
                <c:pt idx="5">
                  <c:v>58.4</c:v>
                </c:pt>
                <c:pt idx="6">
                  <c:v>57.3</c:v>
                </c:pt>
                <c:pt idx="7">
                  <c:v>60.4</c:v>
                </c:pt>
                <c:pt idx="8">
                  <c:v>53.7</c:v>
                </c:pt>
                <c:pt idx="9">
                  <c:v>53.3</c:v>
                </c:pt>
                <c:pt idx="10">
                  <c:v>53.5</c:v>
                </c:pt>
                <c:pt idx="11">
                  <c:v>52.8888888888889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'2021-2022图表 '!$A$136</c:f>
              <c:strCache>
                <c:ptCount val="1"/>
                <c:pt idx="0">
                  <c:v>主营业务利润指数（%）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'2021-2022图表 '!$H$134:$S$134</c:f>
              <c:numCache>
                <c:formatCode>yyyy"年"m"月"</c:formatCode>
                <c:ptCount val="12"/>
                <c:pt idx="0" c:formatCode="yyyy&quot;年&quot;m&quot;月&quot;">
                  <c:v>44564</c:v>
                </c:pt>
                <c:pt idx="1" c:formatCode="yyyy&quot;年&quot;m&quot;月&quot;">
                  <c:v>44596</c:v>
                </c:pt>
                <c:pt idx="2" c:formatCode="yyyy&quot;年&quot;m&quot;月&quot;">
                  <c:v>44623</c:v>
                </c:pt>
                <c:pt idx="3" c:formatCode="yyyy&quot;年&quot;m&quot;月&quot;">
                  <c:v>44654</c:v>
                </c:pt>
                <c:pt idx="4" c:formatCode="yyyy&quot;年&quot;m&quot;月&quot;">
                  <c:v>44685</c:v>
                </c:pt>
                <c:pt idx="5" c:formatCode="yyyy&quot;年&quot;m&quot;月&quot;">
                  <c:v>44715</c:v>
                </c:pt>
                <c:pt idx="6" c:formatCode="yyyy&quot;年&quot;m&quot;月&quot;">
                  <c:v>44745</c:v>
                </c:pt>
                <c:pt idx="7" c:formatCode="yyyy&quot;年&quot;m&quot;月&quot;">
                  <c:v>44776</c:v>
                </c:pt>
                <c:pt idx="8" c:formatCode="yyyy&quot;年&quot;m&quot;月&quot;">
                  <c:v>44807</c:v>
                </c:pt>
                <c:pt idx="9" c:formatCode="yyyy&quot;年&quot;m&quot;月&quot;">
                  <c:v>44838</c:v>
                </c:pt>
                <c:pt idx="10" c:formatCode="yyyy&quot;年&quot;m&quot;月&quot;">
                  <c:v>44868</c:v>
                </c:pt>
                <c:pt idx="11" c:formatCode="yyyy&quot;年&quot;m&quot;月&quot;">
                  <c:v>44898</c:v>
                </c:pt>
              </c:numCache>
            </c:numRef>
          </c:cat>
          <c:val>
            <c:numRef>
              <c:f>'2021-2022图表 '!$H$136:$S$136</c:f>
              <c:numCache>
                <c:formatCode>0.0_ </c:formatCode>
                <c:ptCount val="12"/>
                <c:pt idx="0">
                  <c:v>46.5</c:v>
                </c:pt>
                <c:pt idx="1">
                  <c:v>46.1</c:v>
                </c:pt>
                <c:pt idx="2">
                  <c:v>48.7</c:v>
                </c:pt>
                <c:pt idx="3">
                  <c:v>41.7</c:v>
                </c:pt>
                <c:pt idx="4">
                  <c:v>53.1</c:v>
                </c:pt>
                <c:pt idx="5">
                  <c:v>46</c:v>
                </c:pt>
                <c:pt idx="6">
                  <c:v>44.6</c:v>
                </c:pt>
                <c:pt idx="7">
                  <c:v>45</c:v>
                </c:pt>
                <c:pt idx="8">
                  <c:v>44.4</c:v>
                </c:pt>
                <c:pt idx="9">
                  <c:v>37.1</c:v>
                </c:pt>
                <c:pt idx="10">
                  <c:v>41.7</c:v>
                </c:pt>
                <c:pt idx="11">
                  <c:v>40.8888888888889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783360"/>
        <c:axId val="98902784"/>
      </c:lineChart>
      <c:dateAx>
        <c:axId val="96783360"/>
        <c:scaling>
          <c:orientation val="minMax"/>
        </c:scaling>
        <c:delete val="0"/>
        <c:axPos val="b"/>
        <c:numFmt formatCode="yyyy&quot;年&quot;mm&quot;月&quot;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8902784"/>
        <c:crosses val="autoZero"/>
        <c:auto val="1"/>
        <c:lblOffset val="100"/>
        <c:baseTimeUnit val="months"/>
      </c:dateAx>
      <c:valAx>
        <c:axId val="98902784"/>
        <c:scaling>
          <c:orientation val="minMax"/>
        </c:scaling>
        <c:delete val="0"/>
        <c:axPos val="l"/>
        <c:majorGridlines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6783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712655745618"/>
          <c:y val="0.909756017339938"/>
          <c:w val="0.688506471173862"/>
          <c:h val="0.0682927791920747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74247437105517"/>
          <c:y val="0.0449438202247191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200" b="1" i="0" u="none" strike="noStrike" kern="1200" baseline="0">
              <a:solidFill>
                <a:sysClr val="windowText" lastClr="000000"/>
              </a:solidFill>
              <a:latin typeface="+mn-ea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13686560033242"/>
          <c:y val="0.166874484528975"/>
          <c:w val="0.807239051174467"/>
          <c:h val="0.324539007092199"/>
        </c:manualLayout>
      </c:layout>
      <c:lineChart>
        <c:grouping val="standard"/>
        <c:varyColors val="0"/>
        <c:ser>
          <c:idx val="0"/>
          <c:order val="0"/>
          <c:tx>
            <c:strRef>
              <c:f>'2021-2022图表 '!$A$130</c:f>
              <c:strCache>
                <c:ptCount val="1"/>
                <c:pt idx="0">
                  <c:v>资金周转率指数（%）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'2021-2022图表 '!$H$129:$S$129</c:f>
              <c:numCache>
                <c:formatCode>yyyy"年"m"月"</c:formatCode>
                <c:ptCount val="12"/>
                <c:pt idx="0" c:formatCode="yyyy&quot;年&quot;m&quot;月&quot;">
                  <c:v>44564</c:v>
                </c:pt>
                <c:pt idx="1" c:formatCode="yyyy&quot;年&quot;m&quot;月&quot;">
                  <c:v>44596</c:v>
                </c:pt>
                <c:pt idx="2" c:formatCode="yyyy&quot;年&quot;m&quot;月&quot;">
                  <c:v>44623</c:v>
                </c:pt>
                <c:pt idx="3" c:formatCode="yyyy&quot;年&quot;m&quot;月&quot;">
                  <c:v>44654</c:v>
                </c:pt>
                <c:pt idx="4" c:formatCode="yyyy&quot;年&quot;m&quot;月&quot;">
                  <c:v>44685</c:v>
                </c:pt>
                <c:pt idx="5" c:formatCode="yyyy&quot;年&quot;m&quot;月&quot;">
                  <c:v>44715</c:v>
                </c:pt>
                <c:pt idx="6" c:formatCode="yyyy&quot;年&quot;m&quot;月&quot;">
                  <c:v>44745</c:v>
                </c:pt>
                <c:pt idx="7" c:formatCode="yyyy&quot;年&quot;m&quot;月&quot;">
                  <c:v>44774.2</c:v>
                </c:pt>
                <c:pt idx="8" c:formatCode="yyyy&quot;年&quot;m&quot;月&quot;">
                  <c:v>44807</c:v>
                </c:pt>
                <c:pt idx="9" c:formatCode="yyyy&quot;年&quot;m&quot;月&quot;">
                  <c:v>44838</c:v>
                </c:pt>
                <c:pt idx="10" c:formatCode="yyyy&quot;年&quot;m&quot;月&quot;">
                  <c:v>44868</c:v>
                </c:pt>
                <c:pt idx="11" c:formatCode="yyyy&quot;年&quot;m&quot;月&quot;">
                  <c:v>44898</c:v>
                </c:pt>
              </c:numCache>
            </c:numRef>
          </c:cat>
          <c:val>
            <c:numRef>
              <c:f>'2021-2022图表 '!$H$130:$S$130</c:f>
              <c:numCache>
                <c:formatCode>0.0_ </c:formatCode>
                <c:ptCount val="12"/>
                <c:pt idx="0">
                  <c:v>56.1</c:v>
                </c:pt>
                <c:pt idx="1">
                  <c:v>55.8</c:v>
                </c:pt>
                <c:pt idx="2">
                  <c:v>56</c:v>
                </c:pt>
                <c:pt idx="3">
                  <c:v>55</c:v>
                </c:pt>
                <c:pt idx="4">
                  <c:v>55.1</c:v>
                </c:pt>
                <c:pt idx="5">
                  <c:v>53.3</c:v>
                </c:pt>
                <c:pt idx="6">
                  <c:v>52.5</c:v>
                </c:pt>
                <c:pt idx="7">
                  <c:v>53.2</c:v>
                </c:pt>
                <c:pt idx="8">
                  <c:v>52.6</c:v>
                </c:pt>
                <c:pt idx="9">
                  <c:v>52.9</c:v>
                </c:pt>
                <c:pt idx="10">
                  <c:v>53.3</c:v>
                </c:pt>
                <c:pt idx="11">
                  <c:v>52.7777777777778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944896"/>
        <c:axId val="98946432"/>
      </c:lineChart>
      <c:catAx>
        <c:axId val="98944896"/>
        <c:scaling>
          <c:orientation val="minMax"/>
        </c:scaling>
        <c:delete val="0"/>
        <c:axPos val="b"/>
        <c:numFmt formatCode="yyyy&quot;年&quot;mm&quot;月&quot;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8946432"/>
        <c:crosses val="autoZero"/>
        <c:auto val="0"/>
        <c:lblAlgn val="ctr"/>
        <c:lblOffset val="100"/>
        <c:noMultiLvlLbl val="0"/>
      </c:catAx>
      <c:valAx>
        <c:axId val="98946432"/>
        <c:scaling>
          <c:orientation val="minMax"/>
        </c:scaling>
        <c:delete val="0"/>
        <c:axPos val="l"/>
        <c:majorGridlines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89448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968254398007"/>
          <c:y val="0.138535381916793"/>
          <c:w val="0.849408884130448"/>
          <c:h val="0.448255786208542"/>
        </c:manualLayout>
      </c:layout>
      <c:lineChart>
        <c:grouping val="standard"/>
        <c:varyColors val="0"/>
        <c:ser>
          <c:idx val="0"/>
          <c:order val="0"/>
          <c:tx>
            <c:strRef>
              <c:f>'2021-2022图表 '!$A$132</c:f>
              <c:strCache>
                <c:ptCount val="1"/>
                <c:pt idx="0">
                  <c:v>业务活动预期指数（%）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'2021-2022图表 '!$H$131:$S$131</c:f>
              <c:numCache>
                <c:formatCode>yyyy"年"m"月"</c:formatCode>
                <c:ptCount val="12"/>
                <c:pt idx="0" c:formatCode="yyyy&quot;年&quot;m&quot;月&quot;">
                  <c:v>44564</c:v>
                </c:pt>
                <c:pt idx="1" c:formatCode="yyyy&quot;年&quot;m&quot;月&quot;">
                  <c:v>44596</c:v>
                </c:pt>
                <c:pt idx="2" c:formatCode="yyyy&quot;年&quot;m&quot;月&quot;">
                  <c:v>44623</c:v>
                </c:pt>
                <c:pt idx="3" c:formatCode="yyyy&quot;年&quot;m&quot;月&quot;">
                  <c:v>44654</c:v>
                </c:pt>
                <c:pt idx="4" c:formatCode="yyyy&quot;年&quot;m&quot;月&quot;">
                  <c:v>44685</c:v>
                </c:pt>
                <c:pt idx="5" c:formatCode="yyyy&quot;年&quot;m&quot;月&quot;">
                  <c:v>44715</c:v>
                </c:pt>
                <c:pt idx="6" c:formatCode="yyyy&quot;年&quot;m&quot;月&quot;">
                  <c:v>44745</c:v>
                </c:pt>
                <c:pt idx="7" c:formatCode="yyyy&quot;年&quot;m&quot;月&quot;">
                  <c:v>44776</c:v>
                </c:pt>
                <c:pt idx="8" c:formatCode="yyyy&quot;年&quot;m&quot;月&quot;">
                  <c:v>44807</c:v>
                </c:pt>
                <c:pt idx="9" c:formatCode="yyyy&quot;年&quot;m&quot;月&quot;">
                  <c:v>44838</c:v>
                </c:pt>
                <c:pt idx="10" c:formatCode="yyyy&quot;年&quot;m&quot;月&quot;">
                  <c:v>44868</c:v>
                </c:pt>
                <c:pt idx="11" c:formatCode="yyyy&quot;年&quot;m&quot;月&quot;">
                  <c:v>44898</c:v>
                </c:pt>
              </c:numCache>
            </c:numRef>
          </c:cat>
          <c:val>
            <c:numRef>
              <c:f>'2021-2022图表 '!$H$132:$S$132</c:f>
              <c:numCache>
                <c:formatCode>0.0_ </c:formatCode>
                <c:ptCount val="12"/>
                <c:pt idx="0">
                  <c:v>57.2</c:v>
                </c:pt>
                <c:pt idx="1">
                  <c:v>57.1</c:v>
                </c:pt>
                <c:pt idx="2">
                  <c:v>57.4</c:v>
                </c:pt>
                <c:pt idx="3">
                  <c:v>55.9</c:v>
                </c:pt>
                <c:pt idx="4">
                  <c:v>55.6</c:v>
                </c:pt>
                <c:pt idx="5">
                  <c:v>53.4</c:v>
                </c:pt>
                <c:pt idx="6">
                  <c:v>52.8</c:v>
                </c:pt>
                <c:pt idx="7">
                  <c:v>53.4</c:v>
                </c:pt>
                <c:pt idx="8">
                  <c:v>53.8</c:v>
                </c:pt>
                <c:pt idx="9">
                  <c:v>53.6</c:v>
                </c:pt>
                <c:pt idx="10">
                  <c:v>53.5</c:v>
                </c:pt>
                <c:pt idx="11">
                  <c:v>53.030303030303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'2021-2022图表 '!$A$133</c:f>
              <c:strCache>
                <c:ptCount val="1"/>
                <c:pt idx="0">
                  <c:v>新订单（客户需求）指数（%）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'2021-2022图表 '!$H$131:$S$131</c:f>
              <c:numCache>
                <c:formatCode>yyyy"年"m"月"</c:formatCode>
                <c:ptCount val="12"/>
                <c:pt idx="0" c:formatCode="yyyy&quot;年&quot;m&quot;月&quot;">
                  <c:v>44564</c:v>
                </c:pt>
                <c:pt idx="1" c:formatCode="yyyy&quot;年&quot;m&quot;月&quot;">
                  <c:v>44596</c:v>
                </c:pt>
                <c:pt idx="2" c:formatCode="yyyy&quot;年&quot;m&quot;月&quot;">
                  <c:v>44623</c:v>
                </c:pt>
                <c:pt idx="3" c:formatCode="yyyy&quot;年&quot;m&quot;月&quot;">
                  <c:v>44654</c:v>
                </c:pt>
                <c:pt idx="4" c:formatCode="yyyy&quot;年&quot;m&quot;月&quot;">
                  <c:v>44685</c:v>
                </c:pt>
                <c:pt idx="5" c:formatCode="yyyy&quot;年&quot;m&quot;月&quot;">
                  <c:v>44715</c:v>
                </c:pt>
                <c:pt idx="6" c:formatCode="yyyy&quot;年&quot;m&quot;月&quot;">
                  <c:v>44745</c:v>
                </c:pt>
                <c:pt idx="7" c:formatCode="yyyy&quot;年&quot;m&quot;月&quot;">
                  <c:v>44776</c:v>
                </c:pt>
                <c:pt idx="8" c:formatCode="yyyy&quot;年&quot;m&quot;月&quot;">
                  <c:v>44807</c:v>
                </c:pt>
                <c:pt idx="9" c:formatCode="yyyy&quot;年&quot;m&quot;月&quot;">
                  <c:v>44838</c:v>
                </c:pt>
                <c:pt idx="10" c:formatCode="yyyy&quot;年&quot;m&quot;月&quot;">
                  <c:v>44868</c:v>
                </c:pt>
                <c:pt idx="11" c:formatCode="yyyy&quot;年&quot;m&quot;月&quot;">
                  <c:v>44898</c:v>
                </c:pt>
              </c:numCache>
            </c:numRef>
          </c:cat>
          <c:val>
            <c:numRef>
              <c:f>'2021-2022图表 '!$H$133:$S$133</c:f>
              <c:numCache>
                <c:formatCode>0.0_ </c:formatCode>
                <c:ptCount val="12"/>
                <c:pt idx="0">
                  <c:v>53.3</c:v>
                </c:pt>
                <c:pt idx="1">
                  <c:v>53.1</c:v>
                </c:pt>
                <c:pt idx="2">
                  <c:v>53.4</c:v>
                </c:pt>
                <c:pt idx="3">
                  <c:v>51.5</c:v>
                </c:pt>
                <c:pt idx="4">
                  <c:v>52.8</c:v>
                </c:pt>
                <c:pt idx="5">
                  <c:v>52.8</c:v>
                </c:pt>
                <c:pt idx="6">
                  <c:v>51.6</c:v>
                </c:pt>
                <c:pt idx="7">
                  <c:v>52.1</c:v>
                </c:pt>
                <c:pt idx="8">
                  <c:v>53</c:v>
                </c:pt>
                <c:pt idx="9">
                  <c:v>51.8</c:v>
                </c:pt>
                <c:pt idx="10">
                  <c:v>51.5</c:v>
                </c:pt>
                <c:pt idx="11">
                  <c:v>51.6061084781464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033472"/>
        <c:axId val="99035008"/>
      </c:lineChart>
      <c:dateAx>
        <c:axId val="99033472"/>
        <c:scaling>
          <c:orientation val="minMax"/>
        </c:scaling>
        <c:delete val="0"/>
        <c:axPos val="b"/>
        <c:numFmt formatCode="yyyy&quot;年&quot;mm&quot;月&quot;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9035008"/>
        <c:crosses val="autoZero"/>
        <c:auto val="1"/>
        <c:lblOffset val="100"/>
        <c:baseTimeUnit val="months"/>
      </c:dateAx>
      <c:valAx>
        <c:axId val="99035008"/>
        <c:scaling>
          <c:orientation val="minMax"/>
          <c:min val="50"/>
        </c:scaling>
        <c:delete val="0"/>
        <c:axPos val="l"/>
        <c:majorGridlines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9033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3188276164275"/>
          <c:y val="0.90625262751247"/>
          <c:w val="0.758134945713131"/>
          <c:h val="0.0594480165961787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1035</Words>
  <Characters>1283</Characters>
  <Lines>14</Lines>
  <Paragraphs>4</Paragraphs>
  <TotalTime>26</TotalTime>
  <ScaleCrop>false</ScaleCrop>
  <LinksUpToDate>false</LinksUpToDate>
  <CharactersWithSpaces>1294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2018-04-18T19:03:00Z</dcterms:created>
  <dc:creator>微软用户</dc:creator>
  <cp:lastModifiedBy>Yangjie</cp:lastModifiedBy>
  <dcterms:modified xsi:type="dcterms:W3CDTF">2023-01-31T02:37:49Z</dcterms:modified>
  <dc:title>2022年1-4季度福州市物流业景气指数（LPI）情况</dc:title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8DC541247CCD420FB95D20BEC6E0A6D3</vt:lpwstr>
  </property>
</Properties>
</file>