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600" w:lineRule="auto"/>
        <w:ind w:left="0" w:leftChars="0" w:firstLine="0" w:firstLineChars="0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32"/>
          <w:szCs w:val="32"/>
        </w:rPr>
        <w:t>2022年上半年</w:t>
      </w:r>
      <w:r>
        <w:rPr>
          <w:rFonts w:hint="eastAsia"/>
          <w:b/>
          <w:bCs/>
          <w:color w:val="000000"/>
          <w:sz w:val="32"/>
          <w:szCs w:val="32"/>
        </w:rPr>
        <w:t>福州</w:t>
      </w:r>
      <w:bookmarkStart w:id="0" w:name="_GoBack"/>
      <w:bookmarkEnd w:id="0"/>
      <w:r>
        <w:rPr>
          <w:rFonts w:hint="eastAsia"/>
          <w:b/>
          <w:bCs/>
          <w:color w:val="000000"/>
          <w:sz w:val="32"/>
          <w:szCs w:val="32"/>
        </w:rPr>
        <w:t>市</w:t>
      </w:r>
      <w:r>
        <w:rPr>
          <w:rFonts w:hint="eastAsia" w:ascii="宋体" w:hAnsi="宋体" w:eastAsia="宋体" w:cs="Times New Roman"/>
          <w:b/>
          <w:sz w:val="32"/>
          <w:szCs w:val="32"/>
        </w:rPr>
        <w:t>物流业运行情况</w:t>
      </w:r>
    </w:p>
    <w:p>
      <w:pPr>
        <w:ind w:firstLine="700" w:firstLineChars="250"/>
        <w:rPr>
          <w:rFonts w:asciiTheme="majorEastAsia" w:hAnsiTheme="majorEastAsia" w:eastAsiaTheme="majorEastAsia"/>
          <w:sz w:val="28"/>
          <w:szCs w:val="28"/>
          <w:shd w:val="clear" w:color="auto" w:fill="FFFFFF"/>
        </w:rPr>
      </w:pPr>
      <w:r>
        <w:rPr>
          <w:rFonts w:hint="default" w:asciiTheme="majorEastAsia" w:hAnsiTheme="majorEastAsia" w:eastAsiaTheme="majorEastAsia"/>
          <w:sz w:val="28"/>
          <w:szCs w:val="28"/>
          <w:lang w:val="en"/>
        </w:rPr>
        <w:t>2022</w:t>
      </w:r>
      <w:r>
        <w:rPr>
          <w:rFonts w:hint="eastAsia" w:asciiTheme="majorEastAsia" w:hAnsiTheme="majorEastAsia" w:eastAsiaTheme="majorEastAsia"/>
          <w:sz w:val="28"/>
          <w:szCs w:val="28"/>
          <w:lang w:val="en" w:eastAsia="zh-CN"/>
        </w:rPr>
        <w:t>年</w:t>
      </w:r>
      <w:r>
        <w:rPr>
          <w:rFonts w:asciiTheme="majorEastAsia" w:hAnsiTheme="majorEastAsia" w:eastAsiaTheme="majorEastAsia"/>
          <w:sz w:val="28"/>
          <w:szCs w:val="28"/>
        </w:rPr>
        <w:t>上半年,全市坚持“稳字当头、稳中求进”工作基调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  <w:shd w:val="clear" w:color="auto" w:fill="FFFFFF"/>
        </w:rPr>
        <w:t>全面实施“提高效率、提升效能、提增效益”行动，有力有效</w:t>
      </w:r>
      <w:r>
        <w:rPr>
          <w:rFonts w:asciiTheme="majorEastAsia" w:hAnsiTheme="majorEastAsia" w:eastAsiaTheme="majorEastAsia"/>
          <w:sz w:val="28"/>
          <w:szCs w:val="28"/>
        </w:rPr>
        <w:t>统筹疫情防控和经济社会发展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  <w:shd w:val="clear" w:color="auto" w:fill="FFFFFF"/>
        </w:rPr>
        <w:t>在全市宏观经济稳步发展带动下，全市物流业三项主要指标运行保持总体平稳。</w:t>
      </w:r>
    </w:p>
    <w:p>
      <w:pPr>
        <w:ind w:firstLine="551" w:firstLineChars="196"/>
        <w:rPr>
          <w:rFonts w:asciiTheme="majorEastAsia" w:hAnsiTheme="majorEastAsia" w:eastAsiaTheme="majorEastAsia"/>
          <w:sz w:val="28"/>
          <w:szCs w:val="28"/>
          <w:shd w:val="clear" w:color="auto" w:fill="FFFFFF"/>
        </w:rPr>
      </w:pPr>
      <w:r>
        <w:rPr>
          <w:rFonts w:hint="eastAsia" w:ascii="宋体" w:hAnsi="宋体" w:cs="Tahoma"/>
          <w:b/>
          <w:bCs/>
          <w:kern w:val="0"/>
          <w:sz w:val="28"/>
          <w:szCs w:val="28"/>
        </w:rPr>
        <w:t>一、福州市物流业业务收入较快增长</w:t>
      </w:r>
    </w:p>
    <w:p>
      <w:pPr>
        <w:ind w:firstLine="560" w:firstLineChars="200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cs="Tahoma" w:asciiTheme="majorEastAsia" w:hAnsiTheme="majorEastAsia" w:eastAsiaTheme="majorEastAsia"/>
          <w:sz w:val="28"/>
          <w:szCs w:val="28"/>
        </w:rPr>
        <w:t>据初步测算，上半年，全市物流业业务收入</w:t>
      </w:r>
      <w:r>
        <w:rPr>
          <w:rFonts w:cs="Tahoma" w:asciiTheme="majorEastAsia" w:hAnsiTheme="majorEastAsia" w:eastAsiaTheme="majorEastAsia"/>
          <w:sz w:val="28"/>
          <w:szCs w:val="28"/>
        </w:rPr>
        <w:t>600.66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亿元，比上年同期增长13.9%，比一季度增速（6.9%）回升7.0个百分点。其中</w:t>
      </w:r>
      <w:r>
        <w:rPr>
          <w:rFonts w:hint="eastAsia" w:asciiTheme="majorEastAsia" w:hAnsiTheme="majorEastAsia" w:eastAsiaTheme="majorEastAsia"/>
          <w:sz w:val="28"/>
          <w:szCs w:val="28"/>
        </w:rPr>
        <w:t>交通运输、仓储业、邮政业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业务收入</w:t>
      </w:r>
      <w:r>
        <w:rPr>
          <w:rFonts w:cs="Tahoma" w:asciiTheme="majorEastAsia" w:hAnsiTheme="majorEastAsia" w:eastAsiaTheme="majorEastAsia"/>
          <w:sz w:val="28"/>
          <w:szCs w:val="28"/>
        </w:rPr>
        <w:t>444.47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亿元，增长15.0%，比一季度增速（1.2%）回升13.8个百分点；</w:t>
      </w:r>
      <w:r>
        <w:rPr>
          <w:rFonts w:hint="eastAsia" w:asciiTheme="majorEastAsia" w:hAnsiTheme="majorEastAsia" w:eastAsiaTheme="majorEastAsia"/>
          <w:sz w:val="28"/>
          <w:szCs w:val="28"/>
        </w:rPr>
        <w:t>批发和零售业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业务收入</w:t>
      </w:r>
      <w:r>
        <w:rPr>
          <w:rFonts w:cs="Tahoma" w:asciiTheme="majorEastAsia" w:hAnsiTheme="majorEastAsia" w:eastAsiaTheme="majorEastAsia"/>
          <w:sz w:val="28"/>
          <w:szCs w:val="28"/>
        </w:rPr>
        <w:t>156.19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亿元，增长10.9%，比一季度增速（24.4%）回落13.5个百分点。</w:t>
      </w:r>
    </w:p>
    <w:p>
      <w:pPr>
        <w:pStyle w:val="2"/>
        <w:shd w:val="clear" w:color="auto" w:fill="FFFFFF"/>
        <w:spacing w:before="0" w:beforeAutospacing="0" w:after="0" w:afterAutospacing="0"/>
        <w:ind w:left="359" w:leftChars="171"/>
        <w:jc w:val="center"/>
        <w:rPr>
          <w:rFonts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Cs w:val="0"/>
          <w:sz w:val="28"/>
          <w:szCs w:val="28"/>
        </w:rPr>
        <w:t xml:space="preserve">表1  2022年上半年福州市物流业业务收入 </w:t>
      </w: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</w:rPr>
        <w:tab/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计量单位：亿元</w:t>
      </w:r>
    </w:p>
    <w:tbl>
      <w:tblPr>
        <w:tblStyle w:val="8"/>
        <w:tblW w:w="675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1269"/>
        <w:gridCol w:w="1282"/>
        <w:gridCol w:w="114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0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上半年</w:t>
            </w:r>
          </w:p>
        </w:tc>
        <w:tc>
          <w:tcPr>
            <w:tcW w:w="128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2021年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上半年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同比增长（%）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物流业收入（亿元）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600.66 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527.42 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13.9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05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1．交通运输、仓储业、邮政业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444.47 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386.58 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15.0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51" w:type="dxa"/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2．批发和零售业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156.19 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140.84 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10.9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3.规模以上餐饮业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配送及外卖送餐服务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40.6 </w:t>
            </w:r>
          </w:p>
        </w:tc>
      </w:tr>
    </w:tbl>
    <w:p/>
    <w:p>
      <w:pPr>
        <w:ind w:firstLine="562" w:firstLineChars="200"/>
        <w:jc w:val="left"/>
        <w:rPr>
          <w:rFonts w:cs="Tahoma" w:asciiTheme="majorEastAsia" w:hAnsiTheme="majorEastAsia" w:eastAsiaTheme="majorEastAsia"/>
          <w:sz w:val="28"/>
          <w:szCs w:val="28"/>
        </w:rPr>
      </w:pPr>
      <w:r>
        <w:rPr>
          <w:rStyle w:val="10"/>
          <w:rFonts w:hint="eastAsia" w:asciiTheme="majorEastAsia" w:hAnsiTheme="majorEastAsia" w:eastAsiaTheme="majorEastAsia"/>
          <w:sz w:val="28"/>
          <w:szCs w:val="28"/>
        </w:rPr>
        <w:t>二</w:t>
      </w:r>
      <w:r>
        <w:rPr>
          <w:rStyle w:val="10"/>
          <w:rFonts w:asciiTheme="majorEastAsia" w:hAnsiTheme="majorEastAsia" w:eastAsiaTheme="majorEastAsia"/>
          <w:sz w:val="28"/>
          <w:szCs w:val="28"/>
        </w:rPr>
        <w:t>、</w:t>
      </w:r>
      <w:r>
        <w:rPr>
          <w:rStyle w:val="10"/>
          <w:rFonts w:hint="eastAsia" w:asciiTheme="majorEastAsia" w:hAnsiTheme="majorEastAsia" w:eastAsiaTheme="majorEastAsia"/>
          <w:sz w:val="28"/>
          <w:szCs w:val="28"/>
        </w:rPr>
        <w:t>福州市</w:t>
      </w:r>
      <w:r>
        <w:rPr>
          <w:rStyle w:val="10"/>
          <w:rFonts w:asciiTheme="majorEastAsia" w:hAnsiTheme="majorEastAsia" w:eastAsiaTheme="majorEastAsia"/>
          <w:sz w:val="28"/>
          <w:szCs w:val="28"/>
        </w:rPr>
        <w:t>物流业增加值</w:t>
      </w:r>
      <w:r>
        <w:rPr>
          <w:rStyle w:val="10"/>
          <w:rFonts w:hint="eastAsia" w:asciiTheme="majorEastAsia" w:hAnsiTheme="majorEastAsia" w:eastAsiaTheme="majorEastAsia"/>
          <w:sz w:val="28"/>
          <w:szCs w:val="28"/>
        </w:rPr>
        <w:t>增速回落</w:t>
      </w:r>
    </w:p>
    <w:p>
      <w:pPr>
        <w:ind w:firstLine="560" w:firstLineChars="200"/>
        <w:jc w:val="left"/>
        <w:rPr>
          <w:rFonts w:cs="Tahoma" w:asciiTheme="majorEastAsia" w:hAnsiTheme="majorEastAsia" w:eastAsiaTheme="majorEastAsia"/>
          <w:sz w:val="28"/>
          <w:szCs w:val="28"/>
        </w:rPr>
      </w:pPr>
      <w:r>
        <w:rPr>
          <w:rFonts w:hint="eastAsia" w:cs="Tahoma" w:asciiTheme="majorEastAsia" w:hAnsiTheme="majorEastAsia" w:eastAsiaTheme="majorEastAsia"/>
          <w:sz w:val="28"/>
          <w:szCs w:val="28"/>
        </w:rPr>
        <w:t>上半年</w:t>
      </w:r>
      <w:r>
        <w:rPr>
          <w:rFonts w:asciiTheme="majorEastAsia" w:hAnsiTheme="majorEastAsia" w:eastAsiaTheme="majorEastAsia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全市</w:t>
      </w:r>
      <w:r>
        <w:rPr>
          <w:rFonts w:asciiTheme="majorEastAsia" w:hAnsiTheme="majorEastAsia" w:eastAsiaTheme="majorEastAsia"/>
          <w:sz w:val="28"/>
          <w:szCs w:val="28"/>
        </w:rPr>
        <w:t>物流业实现增加值305.04亿元，按可比价格计算，比</w:t>
      </w:r>
      <w:r>
        <w:rPr>
          <w:rFonts w:hint="eastAsia" w:asciiTheme="majorEastAsia" w:hAnsiTheme="majorEastAsia" w:eastAsiaTheme="majorEastAsia"/>
          <w:sz w:val="28"/>
          <w:szCs w:val="28"/>
        </w:rPr>
        <w:t>上年同期增长6.3%，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比一季度增速（9.6%）减少3.3个百分点。</w:t>
      </w:r>
      <w:r>
        <w:rPr>
          <w:rFonts w:hint="eastAsia" w:asciiTheme="majorEastAsia" w:hAnsiTheme="majorEastAsia" w:eastAsiaTheme="majorEastAsia"/>
          <w:sz w:val="28"/>
          <w:szCs w:val="28"/>
        </w:rPr>
        <w:t>其中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交通运输、仓储业、邮政业实现增加值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198.34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亿元，增长5.2%，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比一季度增速（8.2%）减少3.0个百分点</w:t>
      </w:r>
      <w:r>
        <w:rPr>
          <w:rFonts w:hint="eastAsia" w:cs="Tahoma" w:asciiTheme="majorEastAsia" w:hAnsiTheme="majorEastAsia" w:eastAsiaTheme="majorEastAsia"/>
          <w:bCs/>
          <w:sz w:val="28"/>
          <w:szCs w:val="28"/>
        </w:rPr>
        <w:t>；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批发和零售业实现增加值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106.69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亿元，增长8.2%，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比一季度增速（12.3%）减少4.1个百分点。</w:t>
      </w:r>
    </w:p>
    <w:p>
      <w:pPr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物流业增加值占GDP的比重为</w:t>
      </w:r>
      <w:r>
        <w:rPr>
          <w:rFonts w:hint="eastAsia" w:asciiTheme="majorEastAsia" w:hAnsiTheme="majorEastAsia" w:eastAsiaTheme="majorEastAsia"/>
          <w:sz w:val="28"/>
          <w:szCs w:val="28"/>
        </w:rPr>
        <w:t>5.6</w:t>
      </w:r>
      <w:r>
        <w:rPr>
          <w:rFonts w:asciiTheme="majorEastAsia" w:hAnsiTheme="majorEastAsia" w:eastAsiaTheme="majorEastAsia"/>
          <w:sz w:val="28"/>
          <w:szCs w:val="28"/>
        </w:rPr>
        <w:t>%，</w:t>
      </w:r>
      <w:r>
        <w:rPr>
          <w:rFonts w:hint="eastAsia" w:asciiTheme="majorEastAsia" w:hAnsiTheme="majorEastAsia" w:eastAsiaTheme="majorEastAsia"/>
          <w:sz w:val="28"/>
          <w:szCs w:val="28"/>
        </w:rPr>
        <w:t>比一季度提高0.3个百分点；</w:t>
      </w:r>
      <w:r>
        <w:rPr>
          <w:rFonts w:asciiTheme="majorEastAsia" w:hAnsiTheme="majorEastAsia" w:eastAsiaTheme="majorEastAsia"/>
          <w:sz w:val="28"/>
          <w:szCs w:val="28"/>
        </w:rPr>
        <w:t>占服务业增加值的比重为</w:t>
      </w:r>
      <w:r>
        <w:rPr>
          <w:rFonts w:hint="eastAsia" w:asciiTheme="majorEastAsia" w:hAnsiTheme="majorEastAsia" w:eastAsiaTheme="majorEastAsia"/>
          <w:sz w:val="28"/>
          <w:szCs w:val="28"/>
        </w:rPr>
        <w:t>10.0</w:t>
      </w:r>
      <w:r>
        <w:rPr>
          <w:rFonts w:asciiTheme="majorEastAsia" w:hAnsiTheme="majorEastAsia" w:eastAsiaTheme="majorEastAsia"/>
          <w:sz w:val="28"/>
          <w:szCs w:val="28"/>
        </w:rPr>
        <w:t>%，</w:t>
      </w:r>
      <w:r>
        <w:rPr>
          <w:rFonts w:hint="eastAsia" w:asciiTheme="majorEastAsia" w:hAnsiTheme="majorEastAsia" w:eastAsiaTheme="majorEastAsia"/>
          <w:sz w:val="28"/>
          <w:szCs w:val="28"/>
        </w:rPr>
        <w:t>比一季度略减少0.1个百分点。</w:t>
      </w:r>
    </w:p>
    <w:p>
      <w:pPr>
        <w:ind w:firstLine="560" w:firstLineChars="200"/>
        <w:rPr>
          <w:rFonts w:ascii="宋体"/>
          <w:sz w:val="24"/>
          <w:szCs w:val="24"/>
          <w:lang w:val="en-GB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表2 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2022年</w:t>
      </w:r>
      <w:r>
        <w:rPr>
          <w:rFonts w:hint="eastAsia" w:cs="Tahoma" w:asciiTheme="majorEastAsia" w:hAnsiTheme="majorEastAsia" w:eastAsiaTheme="majorEastAsia"/>
          <w:b/>
          <w:sz w:val="28"/>
          <w:szCs w:val="28"/>
        </w:rPr>
        <w:t>上半年</w:t>
      </w:r>
      <w:r>
        <w:rPr>
          <w:rFonts w:hint="eastAsia"/>
          <w:b/>
          <w:sz w:val="28"/>
          <w:szCs w:val="28"/>
        </w:rPr>
        <w:t>福州市</w:t>
      </w:r>
      <w:r>
        <w:rPr>
          <w:rFonts w:hint="eastAsia" w:ascii="宋体"/>
          <w:b/>
          <w:sz w:val="28"/>
          <w:szCs w:val="28"/>
          <w:lang w:val="en-GB"/>
        </w:rPr>
        <w:t xml:space="preserve">物流业增加值  </w:t>
      </w:r>
      <w:r>
        <w:rPr>
          <w:rFonts w:hint="eastAsia" w:asciiTheme="majorEastAsia" w:hAnsiTheme="majorEastAsia" w:eastAsiaTheme="majorEastAsia"/>
          <w:sz w:val="24"/>
          <w:szCs w:val="24"/>
        </w:rPr>
        <w:t>计量</w:t>
      </w:r>
      <w:r>
        <w:rPr>
          <w:rFonts w:hint="eastAsia" w:ascii="宋体"/>
          <w:sz w:val="24"/>
          <w:szCs w:val="24"/>
          <w:lang w:val="en-GB"/>
        </w:rPr>
        <w:t>单位：亿元</w:t>
      </w:r>
    </w:p>
    <w:tbl>
      <w:tblPr>
        <w:tblStyle w:val="8"/>
        <w:tblW w:w="697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1340"/>
        <w:gridCol w:w="1180"/>
        <w:gridCol w:w="171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7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指   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2022年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上半年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2021年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上半年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同比增长（%）（按可比价格计算）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40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物流增加值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305.04 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268.71 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1.交通运输、仓储业、邮政业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198.34 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172.51 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2.批发和零售业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106.69 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96.20 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8.2 </w:t>
            </w:r>
          </w:p>
        </w:tc>
      </w:tr>
    </w:tbl>
    <w:p>
      <w:pPr>
        <w:ind w:firstLine="480" w:firstLineChars="200"/>
        <w:rPr>
          <w:rFonts w:ascii="宋体"/>
          <w:sz w:val="24"/>
          <w:szCs w:val="24"/>
          <w:lang w:val="en-GB"/>
        </w:rPr>
      </w:pPr>
    </w:p>
    <w:p>
      <w:pPr>
        <w:ind w:firstLine="1120" w:firstLineChars="400"/>
        <w:rPr>
          <w:rFonts w:ascii="宋体" w:hAnsi="宋体" w:cs="Tahoma"/>
          <w:b/>
          <w:kern w:val="0"/>
          <w:sz w:val="28"/>
          <w:szCs w:val="28"/>
        </w:rPr>
      </w:pPr>
      <w:r>
        <w:rPr>
          <w:rFonts w:hint="eastAsia" w:ascii="宋体" w:hAnsi="宋体" w:cs="Tahoma"/>
          <w:kern w:val="0"/>
          <w:sz w:val="28"/>
          <w:szCs w:val="28"/>
        </w:rPr>
        <w:t xml:space="preserve">表3    </w:t>
      </w:r>
      <w:r>
        <w:rPr>
          <w:rFonts w:hint="eastAsia" w:ascii="宋体" w:hAnsi="宋体" w:cs="Tahoma"/>
          <w:b/>
          <w:bCs/>
          <w:kern w:val="0"/>
          <w:sz w:val="28"/>
          <w:szCs w:val="28"/>
        </w:rPr>
        <w:t>2022年上半年福州市</w:t>
      </w:r>
      <w:r>
        <w:rPr>
          <w:rFonts w:hint="eastAsia" w:ascii="宋体" w:hAnsi="宋体" w:cs="Tahoma"/>
          <w:b/>
          <w:kern w:val="0"/>
          <w:sz w:val="28"/>
          <w:szCs w:val="28"/>
        </w:rPr>
        <w:t>物流业增加值</w:t>
      </w:r>
    </w:p>
    <w:p>
      <w:pPr>
        <w:ind w:firstLine="2375" w:firstLineChars="845"/>
        <w:rPr>
          <w:rFonts w:ascii="宋体" w:hAnsi="宋体" w:cs="Tahoma"/>
          <w:b/>
          <w:kern w:val="0"/>
          <w:sz w:val="28"/>
          <w:szCs w:val="28"/>
        </w:rPr>
      </w:pPr>
      <w:r>
        <w:rPr>
          <w:rFonts w:hint="eastAsia" w:ascii="宋体" w:hAnsi="宋体" w:cs="Tahoma"/>
          <w:b/>
          <w:kern w:val="0"/>
          <w:sz w:val="28"/>
          <w:szCs w:val="28"/>
        </w:rPr>
        <w:t>占第三产业及地区生产总值比重</w:t>
      </w:r>
    </w:p>
    <w:tbl>
      <w:tblPr>
        <w:tblStyle w:val="8"/>
        <w:tblW w:w="674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1340"/>
        <w:gridCol w:w="1180"/>
        <w:gridCol w:w="148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物流行业增加值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占第三产业增加值比重（%）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占地区生产总值比重（%）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2021年1-12月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646.77 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10.1 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2022年1-3月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131.34 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10.1 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2022年1-6月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305.04 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5.6 </w:t>
            </w:r>
          </w:p>
        </w:tc>
      </w:tr>
    </w:tbl>
    <w:p>
      <w:pPr>
        <w:ind w:firstLine="689" w:firstLineChars="245"/>
        <w:rPr>
          <w:rFonts w:cs="Arial"/>
          <w:b/>
          <w:sz w:val="28"/>
          <w:szCs w:val="28"/>
        </w:rPr>
      </w:pPr>
      <w:r>
        <w:rPr>
          <w:rStyle w:val="10"/>
          <w:rFonts w:hint="eastAsia" w:asciiTheme="majorEastAsia" w:hAnsiTheme="majorEastAsia" w:eastAsiaTheme="majorEastAsia"/>
          <w:sz w:val="28"/>
          <w:szCs w:val="28"/>
        </w:rPr>
        <w:t>三</w:t>
      </w:r>
      <w:r>
        <w:rPr>
          <w:rStyle w:val="10"/>
          <w:rFonts w:asciiTheme="majorEastAsia" w:hAnsiTheme="majorEastAsia" w:eastAsiaTheme="majorEastAsia"/>
          <w:sz w:val="28"/>
          <w:szCs w:val="28"/>
        </w:rPr>
        <w:t>、</w:t>
      </w:r>
      <w:r>
        <w:rPr>
          <w:rStyle w:val="10"/>
          <w:rFonts w:hint="eastAsia" w:asciiTheme="majorEastAsia" w:hAnsiTheme="majorEastAsia" w:eastAsiaTheme="majorEastAsia"/>
          <w:sz w:val="28"/>
          <w:szCs w:val="28"/>
        </w:rPr>
        <w:t>福州市</w:t>
      </w:r>
      <w:r>
        <w:rPr>
          <w:rStyle w:val="10"/>
          <w:rFonts w:asciiTheme="majorEastAsia" w:hAnsiTheme="majorEastAsia" w:eastAsiaTheme="majorEastAsia"/>
          <w:sz w:val="28"/>
          <w:szCs w:val="28"/>
        </w:rPr>
        <w:t>物流业投资</w:t>
      </w:r>
      <w:r>
        <w:rPr>
          <w:rStyle w:val="10"/>
          <w:rFonts w:hint="eastAsia" w:asciiTheme="majorEastAsia" w:hAnsiTheme="majorEastAsia" w:eastAsiaTheme="majorEastAsia"/>
          <w:sz w:val="28"/>
          <w:szCs w:val="28"/>
        </w:rPr>
        <w:t>增速放缓</w:t>
      </w:r>
    </w:p>
    <w:p>
      <w:pPr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Tahoma" w:asciiTheme="majorEastAsia" w:hAnsiTheme="majorEastAsia" w:eastAsiaTheme="majorEastAsia"/>
          <w:sz w:val="28"/>
          <w:szCs w:val="28"/>
        </w:rPr>
        <w:t>上半年，</w:t>
      </w:r>
      <w:r>
        <w:rPr>
          <w:rFonts w:hint="eastAsia" w:asciiTheme="majorEastAsia" w:hAnsiTheme="majorEastAsia" w:eastAsiaTheme="majorEastAsia"/>
          <w:sz w:val="28"/>
          <w:szCs w:val="28"/>
        </w:rPr>
        <w:t>全市</w:t>
      </w:r>
      <w:r>
        <w:rPr>
          <w:rFonts w:asciiTheme="majorEastAsia" w:hAnsiTheme="majorEastAsia" w:eastAsiaTheme="majorEastAsia"/>
          <w:sz w:val="28"/>
          <w:szCs w:val="28"/>
        </w:rPr>
        <w:t>物流业固定资产投资完成额比</w:t>
      </w:r>
      <w:r>
        <w:rPr>
          <w:rFonts w:hint="eastAsia" w:asciiTheme="majorEastAsia" w:hAnsiTheme="majorEastAsia" w:eastAsiaTheme="majorEastAsia"/>
          <w:sz w:val="28"/>
          <w:szCs w:val="28"/>
        </w:rPr>
        <w:t>上年同期增长15.9</w:t>
      </w:r>
      <w:r>
        <w:rPr>
          <w:rFonts w:asciiTheme="majorEastAsia" w:hAnsiTheme="majorEastAsia" w:eastAsiaTheme="majorEastAsia"/>
          <w:sz w:val="28"/>
          <w:szCs w:val="28"/>
        </w:rPr>
        <w:t>%</w:t>
      </w:r>
      <w:r>
        <w:rPr>
          <w:rFonts w:hint="eastAsia" w:asciiTheme="majorEastAsia" w:hAnsiTheme="majorEastAsia" w:eastAsiaTheme="majorEastAsia"/>
          <w:sz w:val="28"/>
          <w:szCs w:val="28"/>
        </w:rPr>
        <w:t>，比一季度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增速（26.5%）减少10.6个百分点</w:t>
      </w:r>
      <w:r>
        <w:rPr>
          <w:rFonts w:hint="eastAsia" w:cs="Tahoma" w:asciiTheme="majorEastAsia" w:hAnsiTheme="majorEastAsia" w:eastAsiaTheme="majorEastAsia"/>
          <w:bCs/>
          <w:sz w:val="28"/>
          <w:szCs w:val="28"/>
        </w:rPr>
        <w:t>。其中</w:t>
      </w:r>
      <w:r>
        <w:rPr>
          <w:rFonts w:hint="eastAsia" w:asciiTheme="majorEastAsia" w:hAnsiTheme="majorEastAsia" w:eastAsiaTheme="majorEastAsia"/>
          <w:sz w:val="28"/>
          <w:szCs w:val="28"/>
        </w:rPr>
        <w:t>交通运输、仓储业、邮政业</w:t>
      </w:r>
      <w:r>
        <w:rPr>
          <w:rFonts w:asciiTheme="majorEastAsia" w:hAnsiTheme="majorEastAsia" w:eastAsiaTheme="majorEastAsia"/>
          <w:sz w:val="28"/>
          <w:szCs w:val="28"/>
        </w:rPr>
        <w:t>投资</w:t>
      </w:r>
      <w:r>
        <w:rPr>
          <w:rFonts w:hint="eastAsia" w:asciiTheme="majorEastAsia" w:hAnsiTheme="majorEastAsia" w:eastAsiaTheme="majorEastAsia"/>
          <w:sz w:val="28"/>
          <w:szCs w:val="28"/>
        </w:rPr>
        <w:t>增长16.7%，比一季度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增速（27.5）减少10.8个百分点</w:t>
      </w:r>
      <w:r>
        <w:rPr>
          <w:rFonts w:hint="eastAsia" w:cs="Tahoma" w:asciiTheme="majorEastAsia" w:hAnsiTheme="majorEastAsia" w:eastAsiaTheme="majorEastAsia"/>
          <w:bCs/>
          <w:sz w:val="28"/>
          <w:szCs w:val="28"/>
        </w:rPr>
        <w:t>；</w:t>
      </w:r>
      <w:r>
        <w:rPr>
          <w:rFonts w:hint="eastAsia" w:asciiTheme="majorEastAsia" w:hAnsiTheme="majorEastAsia" w:eastAsiaTheme="majorEastAsia"/>
          <w:sz w:val="28"/>
          <w:szCs w:val="28"/>
        </w:rPr>
        <w:t>批发零售业</w:t>
      </w:r>
      <w:r>
        <w:rPr>
          <w:rFonts w:asciiTheme="majorEastAsia" w:hAnsiTheme="majorEastAsia" w:eastAsiaTheme="majorEastAsia"/>
          <w:sz w:val="28"/>
          <w:szCs w:val="28"/>
        </w:rPr>
        <w:t>投资</w:t>
      </w:r>
      <w:r>
        <w:rPr>
          <w:rFonts w:hint="eastAsia" w:asciiTheme="majorEastAsia" w:hAnsiTheme="majorEastAsia" w:eastAsiaTheme="majorEastAsia"/>
          <w:sz w:val="28"/>
          <w:szCs w:val="28"/>
        </w:rPr>
        <w:t>下降59.3%，比一季度</w:t>
      </w:r>
      <w:r>
        <w:rPr>
          <w:rFonts w:hint="eastAsia" w:cs="Tahoma" w:asciiTheme="majorEastAsia" w:hAnsiTheme="majorEastAsia" w:eastAsiaTheme="majorEastAsia"/>
          <w:sz w:val="28"/>
          <w:szCs w:val="28"/>
        </w:rPr>
        <w:t>增速（-63.1%）提高3.8个百分点</w:t>
      </w:r>
      <w:r>
        <w:rPr>
          <w:rFonts w:asciiTheme="majorEastAsia" w:hAnsiTheme="majorEastAsia" w:eastAsiaTheme="majorEastAsia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随着全市工业</w:t>
      </w:r>
      <w:r>
        <w:rPr>
          <w:rFonts w:hint="eastAsia" w:ascii="宋体" w:hAnsi="宋体" w:eastAsia="宋体" w:cs="Times New Roman"/>
          <w:sz w:val="28"/>
          <w:szCs w:val="28"/>
        </w:rPr>
        <w:t>企业生产的企稳回升，</w:t>
      </w:r>
      <w:r>
        <w:rPr>
          <w:rFonts w:hint="eastAsia" w:asciiTheme="majorEastAsia" w:hAnsiTheme="majorEastAsia" w:eastAsiaTheme="majorEastAsia"/>
          <w:sz w:val="28"/>
          <w:szCs w:val="28"/>
        </w:rPr>
        <w:t>与生产相关的运输业、批零业以及金融相关活动也随之稳步恢复，疫情形势平稳，为经济发展创造了良好环境，物流部门要抢抓机遇、加压奋进，用实际行动贯彻落实习近平总书记关于“疫情要防住、经济要稳住、发展要安全”重要指示精神。下阶段要进一步统筹做好疫情防控和物流业务活动开展工作；进一步加大物流领域助企纾困、稳主体、稳就业等政策扶持工作；进一步加大物流企业转型升级力度，不断提升服务能力服务水平，全力推动全市物流业持续健康发展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wMmQ0NWJkNzQ2ZDc5NDcyZGJhZGQ0Zjc4ZTRhYmMifQ=="/>
  </w:docVars>
  <w:rsids>
    <w:rsidRoot w:val="00455773"/>
    <w:rsid w:val="00011D0B"/>
    <w:rsid w:val="000124AD"/>
    <w:rsid w:val="00014904"/>
    <w:rsid w:val="00030E53"/>
    <w:rsid w:val="000318E3"/>
    <w:rsid w:val="00040997"/>
    <w:rsid w:val="00047007"/>
    <w:rsid w:val="00050200"/>
    <w:rsid w:val="0005480B"/>
    <w:rsid w:val="0006277A"/>
    <w:rsid w:val="0006684B"/>
    <w:rsid w:val="00070D76"/>
    <w:rsid w:val="000713F5"/>
    <w:rsid w:val="00075B35"/>
    <w:rsid w:val="00076C6B"/>
    <w:rsid w:val="000857DE"/>
    <w:rsid w:val="00087E54"/>
    <w:rsid w:val="00094B00"/>
    <w:rsid w:val="00095BE4"/>
    <w:rsid w:val="000A4C73"/>
    <w:rsid w:val="000A7715"/>
    <w:rsid w:val="000B38CD"/>
    <w:rsid w:val="000D165B"/>
    <w:rsid w:val="000E14A9"/>
    <w:rsid w:val="000F2F07"/>
    <w:rsid w:val="0010275B"/>
    <w:rsid w:val="00103D2B"/>
    <w:rsid w:val="001079E3"/>
    <w:rsid w:val="001115B7"/>
    <w:rsid w:val="001118AC"/>
    <w:rsid w:val="00112971"/>
    <w:rsid w:val="0011307E"/>
    <w:rsid w:val="0011330F"/>
    <w:rsid w:val="00113EEF"/>
    <w:rsid w:val="00130094"/>
    <w:rsid w:val="001355F2"/>
    <w:rsid w:val="00140B41"/>
    <w:rsid w:val="001425A7"/>
    <w:rsid w:val="0015307A"/>
    <w:rsid w:val="001535F6"/>
    <w:rsid w:val="00164635"/>
    <w:rsid w:val="00174FAF"/>
    <w:rsid w:val="00181BEA"/>
    <w:rsid w:val="00184AF0"/>
    <w:rsid w:val="001905E0"/>
    <w:rsid w:val="00192635"/>
    <w:rsid w:val="001A4370"/>
    <w:rsid w:val="001D3760"/>
    <w:rsid w:val="001D389B"/>
    <w:rsid w:val="001E79D2"/>
    <w:rsid w:val="001E7C6E"/>
    <w:rsid w:val="001E7D44"/>
    <w:rsid w:val="001F0667"/>
    <w:rsid w:val="001F379F"/>
    <w:rsid w:val="00205D62"/>
    <w:rsid w:val="00222222"/>
    <w:rsid w:val="00240653"/>
    <w:rsid w:val="00240FCE"/>
    <w:rsid w:val="00242E97"/>
    <w:rsid w:val="00246086"/>
    <w:rsid w:val="00253916"/>
    <w:rsid w:val="002563D6"/>
    <w:rsid w:val="00275097"/>
    <w:rsid w:val="00280D5D"/>
    <w:rsid w:val="0028291E"/>
    <w:rsid w:val="00295824"/>
    <w:rsid w:val="002C1966"/>
    <w:rsid w:val="002C4384"/>
    <w:rsid w:val="002D055F"/>
    <w:rsid w:val="002D646F"/>
    <w:rsid w:val="002E73BB"/>
    <w:rsid w:val="003118D3"/>
    <w:rsid w:val="00311D56"/>
    <w:rsid w:val="0033068A"/>
    <w:rsid w:val="0034213D"/>
    <w:rsid w:val="00354758"/>
    <w:rsid w:val="00364A5F"/>
    <w:rsid w:val="0036688B"/>
    <w:rsid w:val="0037568F"/>
    <w:rsid w:val="00376FDA"/>
    <w:rsid w:val="00384BE4"/>
    <w:rsid w:val="003853D3"/>
    <w:rsid w:val="00394B8B"/>
    <w:rsid w:val="003A64B7"/>
    <w:rsid w:val="003A6E8F"/>
    <w:rsid w:val="003B4B45"/>
    <w:rsid w:val="003B5545"/>
    <w:rsid w:val="003C2261"/>
    <w:rsid w:val="003E0511"/>
    <w:rsid w:val="003E0C0C"/>
    <w:rsid w:val="003E2F00"/>
    <w:rsid w:val="00400658"/>
    <w:rsid w:val="00403876"/>
    <w:rsid w:val="00405A36"/>
    <w:rsid w:val="00405F5C"/>
    <w:rsid w:val="00420E3D"/>
    <w:rsid w:val="00426B86"/>
    <w:rsid w:val="004316A7"/>
    <w:rsid w:val="00432016"/>
    <w:rsid w:val="00437CA4"/>
    <w:rsid w:val="00444583"/>
    <w:rsid w:val="0044573F"/>
    <w:rsid w:val="00455773"/>
    <w:rsid w:val="00456E9B"/>
    <w:rsid w:val="00463FFA"/>
    <w:rsid w:val="00467D92"/>
    <w:rsid w:val="004705E6"/>
    <w:rsid w:val="00473563"/>
    <w:rsid w:val="00494B5D"/>
    <w:rsid w:val="004A6042"/>
    <w:rsid w:val="004C00A1"/>
    <w:rsid w:val="004C2EAB"/>
    <w:rsid w:val="004C376F"/>
    <w:rsid w:val="004D0338"/>
    <w:rsid w:val="004E159B"/>
    <w:rsid w:val="004E4096"/>
    <w:rsid w:val="004E60AD"/>
    <w:rsid w:val="00510207"/>
    <w:rsid w:val="005174DF"/>
    <w:rsid w:val="00521E32"/>
    <w:rsid w:val="00525F20"/>
    <w:rsid w:val="00527FA9"/>
    <w:rsid w:val="0053191E"/>
    <w:rsid w:val="00532C3D"/>
    <w:rsid w:val="00554689"/>
    <w:rsid w:val="005559AE"/>
    <w:rsid w:val="0056195E"/>
    <w:rsid w:val="005705FE"/>
    <w:rsid w:val="005855D1"/>
    <w:rsid w:val="005870C1"/>
    <w:rsid w:val="00596DC5"/>
    <w:rsid w:val="005A5161"/>
    <w:rsid w:val="005B6086"/>
    <w:rsid w:val="005B724E"/>
    <w:rsid w:val="005C4BE6"/>
    <w:rsid w:val="005C6235"/>
    <w:rsid w:val="005D12B8"/>
    <w:rsid w:val="005D28E5"/>
    <w:rsid w:val="005D578D"/>
    <w:rsid w:val="005D7824"/>
    <w:rsid w:val="005E4A59"/>
    <w:rsid w:val="005E59DE"/>
    <w:rsid w:val="005F0642"/>
    <w:rsid w:val="00600B39"/>
    <w:rsid w:val="00606848"/>
    <w:rsid w:val="00625029"/>
    <w:rsid w:val="006325A6"/>
    <w:rsid w:val="00646099"/>
    <w:rsid w:val="0066061C"/>
    <w:rsid w:val="00662D2A"/>
    <w:rsid w:val="00663971"/>
    <w:rsid w:val="00665518"/>
    <w:rsid w:val="00667EF6"/>
    <w:rsid w:val="006703E6"/>
    <w:rsid w:val="00670BC9"/>
    <w:rsid w:val="0067738A"/>
    <w:rsid w:val="00682C38"/>
    <w:rsid w:val="00687984"/>
    <w:rsid w:val="006A2D7D"/>
    <w:rsid w:val="006A3EDB"/>
    <w:rsid w:val="006B5F56"/>
    <w:rsid w:val="006C2A4C"/>
    <w:rsid w:val="006C45CB"/>
    <w:rsid w:val="006D0F27"/>
    <w:rsid w:val="006E492B"/>
    <w:rsid w:val="00704330"/>
    <w:rsid w:val="007509AC"/>
    <w:rsid w:val="00750D8F"/>
    <w:rsid w:val="00752241"/>
    <w:rsid w:val="00752FE5"/>
    <w:rsid w:val="00753420"/>
    <w:rsid w:val="0076479C"/>
    <w:rsid w:val="0076662B"/>
    <w:rsid w:val="00782FAE"/>
    <w:rsid w:val="00796DC5"/>
    <w:rsid w:val="007A3001"/>
    <w:rsid w:val="007B28B1"/>
    <w:rsid w:val="007B60C0"/>
    <w:rsid w:val="007B736C"/>
    <w:rsid w:val="007C5858"/>
    <w:rsid w:val="007D59B9"/>
    <w:rsid w:val="007E135F"/>
    <w:rsid w:val="007E4308"/>
    <w:rsid w:val="007E6FBD"/>
    <w:rsid w:val="00801317"/>
    <w:rsid w:val="00801EA9"/>
    <w:rsid w:val="00803A16"/>
    <w:rsid w:val="00816914"/>
    <w:rsid w:val="00826AEA"/>
    <w:rsid w:val="0083111B"/>
    <w:rsid w:val="008430B6"/>
    <w:rsid w:val="00862BC7"/>
    <w:rsid w:val="00872FF6"/>
    <w:rsid w:val="00875A12"/>
    <w:rsid w:val="00886A87"/>
    <w:rsid w:val="008A5D91"/>
    <w:rsid w:val="008A7292"/>
    <w:rsid w:val="008B08D7"/>
    <w:rsid w:val="008B1F18"/>
    <w:rsid w:val="008F00A3"/>
    <w:rsid w:val="0090163F"/>
    <w:rsid w:val="00914BB3"/>
    <w:rsid w:val="00923FF0"/>
    <w:rsid w:val="00966DB8"/>
    <w:rsid w:val="009775FD"/>
    <w:rsid w:val="00977B3A"/>
    <w:rsid w:val="009A1A5E"/>
    <w:rsid w:val="009A330D"/>
    <w:rsid w:val="009B71E5"/>
    <w:rsid w:val="009C11B7"/>
    <w:rsid w:val="009C5295"/>
    <w:rsid w:val="009F3AA2"/>
    <w:rsid w:val="00A1181C"/>
    <w:rsid w:val="00A30C8C"/>
    <w:rsid w:val="00A47ACF"/>
    <w:rsid w:val="00A57529"/>
    <w:rsid w:val="00A60C47"/>
    <w:rsid w:val="00A64ED5"/>
    <w:rsid w:val="00A65721"/>
    <w:rsid w:val="00A75013"/>
    <w:rsid w:val="00A75342"/>
    <w:rsid w:val="00A7556E"/>
    <w:rsid w:val="00A7607E"/>
    <w:rsid w:val="00A76A2C"/>
    <w:rsid w:val="00A7780B"/>
    <w:rsid w:val="00A8097D"/>
    <w:rsid w:val="00A80F1D"/>
    <w:rsid w:val="00A87458"/>
    <w:rsid w:val="00AA3202"/>
    <w:rsid w:val="00AB4ABD"/>
    <w:rsid w:val="00AC7B2C"/>
    <w:rsid w:val="00AF3936"/>
    <w:rsid w:val="00AF56BA"/>
    <w:rsid w:val="00B12CCA"/>
    <w:rsid w:val="00B1517D"/>
    <w:rsid w:val="00B16B44"/>
    <w:rsid w:val="00B260DA"/>
    <w:rsid w:val="00B40A09"/>
    <w:rsid w:val="00B43B3C"/>
    <w:rsid w:val="00B470F4"/>
    <w:rsid w:val="00B5028E"/>
    <w:rsid w:val="00B5548D"/>
    <w:rsid w:val="00B620CB"/>
    <w:rsid w:val="00B7457B"/>
    <w:rsid w:val="00B818B5"/>
    <w:rsid w:val="00B92E7B"/>
    <w:rsid w:val="00BB0DA0"/>
    <w:rsid w:val="00BB0FB4"/>
    <w:rsid w:val="00BC5B32"/>
    <w:rsid w:val="00BE0E7F"/>
    <w:rsid w:val="00BF43BD"/>
    <w:rsid w:val="00C0061A"/>
    <w:rsid w:val="00C27567"/>
    <w:rsid w:val="00C3725F"/>
    <w:rsid w:val="00C425B3"/>
    <w:rsid w:val="00C430B9"/>
    <w:rsid w:val="00C51948"/>
    <w:rsid w:val="00C56488"/>
    <w:rsid w:val="00C6353E"/>
    <w:rsid w:val="00C643D9"/>
    <w:rsid w:val="00C94BB1"/>
    <w:rsid w:val="00CA5BEA"/>
    <w:rsid w:val="00CB7BF5"/>
    <w:rsid w:val="00CC636D"/>
    <w:rsid w:val="00CC78E9"/>
    <w:rsid w:val="00CD4ED3"/>
    <w:rsid w:val="00CF12BE"/>
    <w:rsid w:val="00CF457E"/>
    <w:rsid w:val="00CF67F5"/>
    <w:rsid w:val="00D007BD"/>
    <w:rsid w:val="00D366C1"/>
    <w:rsid w:val="00D4096E"/>
    <w:rsid w:val="00D41920"/>
    <w:rsid w:val="00D6474F"/>
    <w:rsid w:val="00D7062A"/>
    <w:rsid w:val="00D72BCA"/>
    <w:rsid w:val="00D83DC5"/>
    <w:rsid w:val="00D84F2D"/>
    <w:rsid w:val="00D87041"/>
    <w:rsid w:val="00D949A6"/>
    <w:rsid w:val="00DB1ED9"/>
    <w:rsid w:val="00DB31C9"/>
    <w:rsid w:val="00DC0700"/>
    <w:rsid w:val="00DC3707"/>
    <w:rsid w:val="00DE053A"/>
    <w:rsid w:val="00E05714"/>
    <w:rsid w:val="00E0658A"/>
    <w:rsid w:val="00E06F82"/>
    <w:rsid w:val="00E15DC4"/>
    <w:rsid w:val="00E177DC"/>
    <w:rsid w:val="00E17EF3"/>
    <w:rsid w:val="00E20F08"/>
    <w:rsid w:val="00E25058"/>
    <w:rsid w:val="00E25322"/>
    <w:rsid w:val="00E32808"/>
    <w:rsid w:val="00E366D9"/>
    <w:rsid w:val="00E379E1"/>
    <w:rsid w:val="00E439AE"/>
    <w:rsid w:val="00E503DA"/>
    <w:rsid w:val="00E575B1"/>
    <w:rsid w:val="00E65747"/>
    <w:rsid w:val="00E657D4"/>
    <w:rsid w:val="00E667F2"/>
    <w:rsid w:val="00E72F8B"/>
    <w:rsid w:val="00E73A3F"/>
    <w:rsid w:val="00E8126D"/>
    <w:rsid w:val="00E90072"/>
    <w:rsid w:val="00E91634"/>
    <w:rsid w:val="00EA7370"/>
    <w:rsid w:val="00EC09A1"/>
    <w:rsid w:val="00EC2205"/>
    <w:rsid w:val="00EC3606"/>
    <w:rsid w:val="00EC69FE"/>
    <w:rsid w:val="00EC72FD"/>
    <w:rsid w:val="00EC7B62"/>
    <w:rsid w:val="00ED2273"/>
    <w:rsid w:val="00EE1A65"/>
    <w:rsid w:val="00EF16B2"/>
    <w:rsid w:val="00EF31AC"/>
    <w:rsid w:val="00EF47FA"/>
    <w:rsid w:val="00EF58EA"/>
    <w:rsid w:val="00EF661E"/>
    <w:rsid w:val="00F00BD0"/>
    <w:rsid w:val="00F072C0"/>
    <w:rsid w:val="00F20E45"/>
    <w:rsid w:val="00F465C4"/>
    <w:rsid w:val="00F57F1B"/>
    <w:rsid w:val="00F6175C"/>
    <w:rsid w:val="00F63EBE"/>
    <w:rsid w:val="00F6452F"/>
    <w:rsid w:val="00F652C5"/>
    <w:rsid w:val="00F731C6"/>
    <w:rsid w:val="00FA1AAC"/>
    <w:rsid w:val="00FA707F"/>
    <w:rsid w:val="00FC06F5"/>
    <w:rsid w:val="00FC2A29"/>
    <w:rsid w:val="00FC563C"/>
    <w:rsid w:val="00FC74C0"/>
    <w:rsid w:val="00FD3F5C"/>
    <w:rsid w:val="00FD5690"/>
    <w:rsid w:val="00FD6828"/>
    <w:rsid w:val="00FE1B71"/>
    <w:rsid w:val="00FE6DF2"/>
    <w:rsid w:val="00FE76A7"/>
    <w:rsid w:val="00FF2BE0"/>
    <w:rsid w:val="00FF6C7A"/>
    <w:rsid w:val="03D76A8F"/>
    <w:rsid w:val="06D76007"/>
    <w:rsid w:val="0A1802AE"/>
    <w:rsid w:val="0C915136"/>
    <w:rsid w:val="16373124"/>
    <w:rsid w:val="1E907AFC"/>
    <w:rsid w:val="1F552CFC"/>
    <w:rsid w:val="2672712B"/>
    <w:rsid w:val="2DD616B4"/>
    <w:rsid w:val="37771789"/>
    <w:rsid w:val="3D540F3F"/>
    <w:rsid w:val="4CB80E4F"/>
    <w:rsid w:val="541E10E4"/>
    <w:rsid w:val="679FD2B5"/>
    <w:rsid w:val="6A7412A0"/>
    <w:rsid w:val="6F7241D1"/>
    <w:rsid w:val="71856CE5"/>
    <w:rsid w:val="7528502A"/>
    <w:rsid w:val="7C796768"/>
    <w:rsid w:val="ADB8E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link w:val="18"/>
    <w:unhideWhenUsed/>
    <w:qFormat/>
    <w:uiPriority w:val="99"/>
    <w:pPr>
      <w:snapToGrid w:val="0"/>
      <w:jc w:val="left"/>
    </w:p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5"/>
    <w:semiHidden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脚注文本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尾注文本 Char"/>
    <w:basedOn w:val="9"/>
    <w:link w:val="3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1115</Words>
  <Characters>1430</Characters>
  <Lines>11</Lines>
  <Paragraphs>3</Paragraphs>
  <TotalTime>4</TotalTime>
  <ScaleCrop>false</ScaleCrop>
  <LinksUpToDate>false</LinksUpToDate>
  <CharactersWithSpaces>1485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2018-07-21T08:06:00Z</dcterms:created>
  <dc:creator>微软用户</dc:creator>
  <cp:lastModifiedBy>Yangjie</cp:lastModifiedBy>
  <cp:lastPrinted>2022-08-04T02:14:00Z</cp:lastPrinted>
  <dcterms:modified xsi:type="dcterms:W3CDTF">2022-08-09T03:37:18Z</dcterms:modified>
  <dc:title>2022年上半年福州市物流业运行情况</dc:title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695396A868904E8AA4CF8B562012991A</vt:lpwstr>
  </property>
</Properties>
</file>