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600" w:lineRule="auto"/>
        <w:ind w:left="0" w:leftChars="0" w:firstLine="0" w:firstLineChars="0"/>
        <w:jc w:val="center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32"/>
          <w:szCs w:val="32"/>
        </w:rPr>
        <w:t>2022年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color w:val="000000"/>
          <w:sz w:val="32"/>
          <w:szCs w:val="32"/>
        </w:rPr>
        <w:t>一季度</w:t>
      </w:r>
      <w:r>
        <w:rPr>
          <w:rFonts w:hint="eastAsia"/>
          <w:b/>
          <w:bCs/>
          <w:color w:val="000000"/>
          <w:sz w:val="32"/>
          <w:szCs w:val="32"/>
        </w:rPr>
        <w:t>福州市</w:t>
      </w:r>
      <w:r>
        <w:rPr>
          <w:rFonts w:hint="eastAsia" w:ascii="宋体" w:hAnsi="宋体" w:eastAsia="宋体" w:cs="Times New Roman"/>
          <w:b/>
          <w:sz w:val="32"/>
          <w:szCs w:val="32"/>
        </w:rPr>
        <w:t>物流业运行情况</w:t>
      </w:r>
    </w:p>
    <w:p>
      <w:pPr>
        <w:ind w:firstLine="504" w:firstLineChars="1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一季度，按照市委、市政府部署要求，全市深入开展提高效率、提升效能、提增效益行动，最大限度减少疫情对经济社会发展的影响，实现物流业三项经济指标平稳增长，为全市经济稳步发展提供了重要支撑。</w:t>
      </w:r>
    </w:p>
    <w:p>
      <w:pPr>
        <w:ind w:firstLine="506" w:firstLineChars="1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cs="Tahoma"/>
          <w:b/>
          <w:bCs/>
          <w:kern w:val="0"/>
          <w:sz w:val="28"/>
          <w:szCs w:val="28"/>
        </w:rPr>
        <w:t>一、福州市物流业业务收入保持增长</w:t>
      </w:r>
    </w:p>
    <w:p>
      <w:pPr>
        <w:ind w:firstLine="504" w:firstLineChars="18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Tahoma" w:asciiTheme="majorEastAsia" w:hAnsiTheme="majorEastAsia" w:eastAsiaTheme="majorEastAsia"/>
          <w:sz w:val="28"/>
          <w:szCs w:val="28"/>
        </w:rPr>
        <w:t>据初步测算，一季度，全市物流业业务收入</w:t>
      </w:r>
      <w:r>
        <w:rPr>
          <w:rFonts w:cs="Tahoma" w:asciiTheme="majorEastAsia" w:hAnsiTheme="majorEastAsia" w:eastAsiaTheme="majorEastAsia"/>
          <w:sz w:val="28"/>
          <w:szCs w:val="28"/>
        </w:rPr>
        <w:t>255.47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亿元，比上年同期增长6.9%，比2021年增速（22.8%）回落15.9个百分点。其中</w:t>
      </w:r>
      <w:r>
        <w:rPr>
          <w:rFonts w:hint="eastAsia" w:asciiTheme="majorEastAsia" w:hAnsiTheme="majorEastAsia" w:eastAsiaTheme="majorEastAsia"/>
          <w:sz w:val="28"/>
          <w:szCs w:val="28"/>
        </w:rPr>
        <w:t>交通运输、仓储业、邮政业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业务收入</w:t>
      </w:r>
      <w:r>
        <w:rPr>
          <w:rFonts w:cs="Tahoma" w:asciiTheme="majorEastAsia" w:hAnsiTheme="majorEastAsia" w:eastAsiaTheme="majorEastAsia"/>
          <w:sz w:val="28"/>
          <w:szCs w:val="28"/>
        </w:rPr>
        <w:t>182.24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亿元，增长1.2%，比2021年增速（25.6%）回落24.4个百分点；</w:t>
      </w:r>
      <w:r>
        <w:rPr>
          <w:rFonts w:hint="eastAsia" w:asciiTheme="majorEastAsia" w:hAnsiTheme="majorEastAsia" w:eastAsiaTheme="majorEastAsia"/>
          <w:sz w:val="28"/>
          <w:szCs w:val="28"/>
        </w:rPr>
        <w:t>批发和零售业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业务收入</w:t>
      </w:r>
      <w:r>
        <w:rPr>
          <w:rFonts w:cs="Tahoma" w:asciiTheme="majorEastAsia" w:hAnsiTheme="majorEastAsia" w:eastAsiaTheme="majorEastAsia"/>
          <w:sz w:val="28"/>
          <w:szCs w:val="28"/>
        </w:rPr>
        <w:t>73.22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亿元，增长</w:t>
      </w:r>
      <w:r>
        <w:rPr>
          <w:rFonts w:cs="Tahoma" w:asciiTheme="majorEastAsia" w:hAnsiTheme="majorEastAsia" w:eastAsiaTheme="majorEastAsia"/>
          <w:sz w:val="28"/>
          <w:szCs w:val="28"/>
        </w:rPr>
        <w:t xml:space="preserve">24.4 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%，比2021年增速（16.6%）提升7.8个百分点。</w:t>
      </w:r>
    </w:p>
    <w:p>
      <w:pPr>
        <w:pStyle w:val="2"/>
        <w:shd w:val="clear" w:color="auto" w:fill="FFFFFF"/>
        <w:spacing w:before="0" w:beforeAutospacing="0" w:after="0" w:afterAutospacing="0"/>
        <w:ind w:left="359" w:leftChars="171" w:firstLine="562" w:firstLineChars="200"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Cs w:val="0"/>
          <w:sz w:val="28"/>
          <w:szCs w:val="28"/>
        </w:rPr>
        <w:t>表1  2022年一季度物流业业务收入</w:t>
      </w: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计量单位：亿元、%</w:t>
      </w:r>
    </w:p>
    <w:tbl>
      <w:tblPr>
        <w:tblStyle w:val="8"/>
        <w:tblW w:w="714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600"/>
        <w:gridCol w:w="1626"/>
        <w:gridCol w:w="155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2022年一季度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2021年一季度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同比增长（%）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物流业收入（亿元）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255.47 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238.94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6.9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6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1．交通运输、仓储业、邮政业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182.24 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180.07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1.2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60" w:type="dxa"/>
            <w:shd w:val="clear" w:color="000000" w:fill="FFFFFF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提供规模以上交通运输、仓储业、邮政业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119.40 </w:t>
            </w:r>
          </w:p>
        </w:tc>
        <w:tc>
          <w:tcPr>
            <w:tcW w:w="162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139.90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-14.7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360" w:type="dxa"/>
            <w:shd w:val="clear" w:color="000000" w:fill="FFFFFF"/>
            <w:vAlign w:val="center"/>
          </w:tcPr>
          <w:p>
            <w:pPr>
              <w:widowControl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Cs w:val="21"/>
              </w:rPr>
              <w:t>．批发和零售业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73.22 </w:t>
            </w:r>
          </w:p>
        </w:tc>
        <w:tc>
          <w:tcPr>
            <w:tcW w:w="162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58.86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24.4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60" w:type="dxa"/>
            <w:shd w:val="clear" w:color="000000" w:fill="FFFFFF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提供规模以上批发和零售业</w:t>
            </w:r>
          </w:p>
        </w:tc>
        <w:tc>
          <w:tcPr>
            <w:tcW w:w="1600" w:type="dxa"/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3324.68 </w:t>
            </w:r>
          </w:p>
        </w:tc>
        <w:tc>
          <w:tcPr>
            <w:tcW w:w="1626" w:type="dxa"/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2545.10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30.6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6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提供规模以上餐饮配送及外卖送餐服务</w:t>
            </w:r>
          </w:p>
        </w:tc>
        <w:tc>
          <w:tcPr>
            <w:tcW w:w="1600" w:type="dxa"/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0.83 </w:t>
            </w:r>
          </w:p>
        </w:tc>
        <w:tc>
          <w:tcPr>
            <w:tcW w:w="1626" w:type="dxa"/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0.69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20.2 </w:t>
            </w:r>
          </w:p>
        </w:tc>
      </w:tr>
    </w:tbl>
    <w:p>
      <w:pPr>
        <w:ind w:firstLine="562" w:firstLineChars="200"/>
        <w:rPr>
          <w:rStyle w:val="10"/>
          <w:rFonts w:asciiTheme="majorEastAsia" w:hAnsiTheme="majorEastAsia" w:eastAsiaTheme="majorEastAsia"/>
          <w:sz w:val="28"/>
          <w:szCs w:val="28"/>
        </w:rPr>
      </w:pPr>
      <w:r>
        <w:rPr>
          <w:rStyle w:val="10"/>
          <w:rFonts w:hint="eastAsia" w:asciiTheme="majorEastAsia" w:hAnsiTheme="majorEastAsia" w:eastAsiaTheme="majorEastAsia"/>
          <w:sz w:val="28"/>
          <w:szCs w:val="28"/>
        </w:rPr>
        <w:t>二</w:t>
      </w:r>
      <w:r>
        <w:rPr>
          <w:rStyle w:val="10"/>
          <w:rFonts w:asciiTheme="majorEastAsia" w:hAnsiTheme="majorEastAsia" w:eastAsiaTheme="majorEastAsia"/>
          <w:sz w:val="28"/>
          <w:szCs w:val="28"/>
        </w:rPr>
        <w:t>、</w:t>
      </w:r>
      <w:r>
        <w:rPr>
          <w:rStyle w:val="10"/>
          <w:rFonts w:hint="eastAsia" w:asciiTheme="majorEastAsia" w:hAnsiTheme="majorEastAsia" w:eastAsiaTheme="majorEastAsia"/>
          <w:sz w:val="28"/>
          <w:szCs w:val="28"/>
        </w:rPr>
        <w:t>福州市</w:t>
      </w:r>
      <w:r>
        <w:rPr>
          <w:rStyle w:val="10"/>
          <w:rFonts w:asciiTheme="majorEastAsia" w:hAnsiTheme="majorEastAsia" w:eastAsiaTheme="majorEastAsia"/>
          <w:sz w:val="28"/>
          <w:szCs w:val="28"/>
        </w:rPr>
        <w:t>物流业增加值</w:t>
      </w:r>
      <w:r>
        <w:rPr>
          <w:rStyle w:val="10"/>
          <w:rFonts w:hint="eastAsia" w:asciiTheme="majorEastAsia" w:hAnsiTheme="majorEastAsia" w:eastAsiaTheme="majorEastAsia"/>
          <w:sz w:val="28"/>
          <w:szCs w:val="28"/>
        </w:rPr>
        <w:t>增速稳中放缓</w:t>
      </w:r>
    </w:p>
    <w:p>
      <w:pPr>
        <w:ind w:firstLine="560" w:firstLineChars="200"/>
        <w:jc w:val="left"/>
        <w:rPr>
          <w:rFonts w:cs="Tahoma" w:asciiTheme="majorEastAsia" w:hAnsiTheme="majorEastAsia" w:eastAsiaTheme="majorEastAsia"/>
          <w:sz w:val="28"/>
          <w:szCs w:val="28"/>
        </w:rPr>
      </w:pPr>
      <w:r>
        <w:rPr>
          <w:rFonts w:hint="eastAsia" w:cs="Tahoma" w:asciiTheme="majorEastAsia" w:hAnsiTheme="majorEastAsia" w:eastAsiaTheme="majorEastAsia"/>
          <w:sz w:val="28"/>
          <w:szCs w:val="28"/>
        </w:rPr>
        <w:t>一季度</w:t>
      </w:r>
      <w:r>
        <w:rPr>
          <w:rFonts w:asciiTheme="majorEastAsia" w:hAnsiTheme="majorEastAsia" w:eastAsiaTheme="majorEastAsia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全市</w:t>
      </w:r>
      <w:r>
        <w:rPr>
          <w:rFonts w:asciiTheme="majorEastAsia" w:hAnsiTheme="majorEastAsia" w:eastAsiaTheme="majorEastAsia"/>
          <w:sz w:val="28"/>
          <w:szCs w:val="28"/>
        </w:rPr>
        <w:t>物流业实现增加值131.34亿元，按可比价格</w:t>
      </w:r>
      <w:r>
        <w:rPr>
          <w:rStyle w:val="12"/>
          <w:rFonts w:asciiTheme="majorEastAsia" w:hAnsiTheme="majorEastAsia" w:eastAsiaTheme="majorEastAsia"/>
          <w:sz w:val="28"/>
          <w:szCs w:val="28"/>
        </w:rPr>
        <w:footnoteReference w:id="0"/>
      </w:r>
      <w:r>
        <w:rPr>
          <w:rFonts w:asciiTheme="majorEastAsia" w:hAnsiTheme="majorEastAsia" w:eastAsiaTheme="majorEastAsia"/>
          <w:sz w:val="28"/>
          <w:szCs w:val="28"/>
        </w:rPr>
        <w:t>计算，比</w:t>
      </w:r>
      <w:r>
        <w:rPr>
          <w:rFonts w:hint="eastAsia" w:asciiTheme="majorEastAsia" w:hAnsiTheme="majorEastAsia" w:eastAsiaTheme="majorEastAsia"/>
          <w:sz w:val="28"/>
          <w:szCs w:val="28"/>
        </w:rPr>
        <w:t>上年同期增长9.6%，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比2021年增速（15.8%）减少6.2个百分点。</w:t>
      </w:r>
      <w:r>
        <w:rPr>
          <w:rFonts w:hint="eastAsia" w:asciiTheme="majorEastAsia" w:hAnsiTheme="majorEastAsia" w:eastAsiaTheme="majorEastAsia"/>
          <w:sz w:val="28"/>
          <w:szCs w:val="28"/>
        </w:rPr>
        <w:t>其中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交通运输、仓储业、邮政业实现增加值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81.3</w:t>
      </w:r>
      <w:r>
        <w:rPr>
          <w:rFonts w:hint="default" w:cs="宋体" w:asciiTheme="majorEastAsia" w:hAnsiTheme="majorEastAsia" w:eastAsiaTheme="majorEastAsia"/>
          <w:kern w:val="0"/>
          <w:sz w:val="28"/>
          <w:szCs w:val="28"/>
          <w:lang w:val="en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亿元，增长8.2%，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比2021年增速（16.9%）减少8.7个百分点</w:t>
      </w:r>
      <w:r>
        <w:rPr>
          <w:rFonts w:hint="eastAsia" w:cs="Tahoma" w:asciiTheme="majorEastAsia" w:hAnsiTheme="majorEastAsia" w:eastAsiaTheme="majorEastAsia"/>
          <w:bCs/>
          <w:sz w:val="28"/>
          <w:szCs w:val="28"/>
        </w:rPr>
        <w:t>；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批发和零售业实现增加值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50.02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亿元，增长12.3%，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比2021年增速（14.0%）减少1.7个百分点。</w:t>
      </w:r>
    </w:p>
    <w:p>
      <w:pPr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物流业增加值占GDP的比重为</w:t>
      </w:r>
      <w:r>
        <w:rPr>
          <w:rFonts w:hint="eastAsia" w:asciiTheme="majorEastAsia" w:hAnsiTheme="majorEastAsia" w:eastAsiaTheme="majorEastAsia"/>
          <w:sz w:val="28"/>
          <w:szCs w:val="28"/>
        </w:rPr>
        <w:t>5.3</w:t>
      </w:r>
      <w:r>
        <w:rPr>
          <w:rFonts w:asciiTheme="majorEastAsia" w:hAnsiTheme="majorEastAsia" w:eastAsiaTheme="majorEastAsia"/>
          <w:sz w:val="28"/>
          <w:szCs w:val="28"/>
        </w:rPr>
        <w:t>%，</w:t>
      </w:r>
      <w:r>
        <w:rPr>
          <w:rFonts w:hint="eastAsia" w:asciiTheme="majorEastAsia" w:hAnsiTheme="majorEastAsia" w:eastAsiaTheme="majorEastAsia"/>
          <w:sz w:val="28"/>
          <w:szCs w:val="28"/>
        </w:rPr>
        <w:t>比2021年减少0.4个百分点；</w:t>
      </w:r>
      <w:r>
        <w:rPr>
          <w:rFonts w:asciiTheme="majorEastAsia" w:hAnsiTheme="majorEastAsia" w:eastAsiaTheme="majorEastAsia"/>
          <w:sz w:val="28"/>
          <w:szCs w:val="28"/>
        </w:rPr>
        <w:t>占服务业增加值的比重为</w:t>
      </w:r>
      <w:r>
        <w:rPr>
          <w:rFonts w:hint="eastAsia" w:asciiTheme="majorEastAsia" w:hAnsiTheme="majorEastAsia" w:eastAsiaTheme="majorEastAsia"/>
          <w:sz w:val="28"/>
          <w:szCs w:val="28"/>
        </w:rPr>
        <w:t>10.1</w:t>
      </w:r>
      <w:r>
        <w:rPr>
          <w:rFonts w:asciiTheme="majorEastAsia" w:hAnsiTheme="majorEastAsia" w:eastAsiaTheme="majorEastAsia"/>
          <w:sz w:val="28"/>
          <w:szCs w:val="28"/>
        </w:rPr>
        <w:t>%，</w:t>
      </w:r>
      <w:r>
        <w:rPr>
          <w:rFonts w:hint="eastAsia" w:asciiTheme="majorEastAsia" w:hAnsiTheme="majorEastAsia" w:eastAsiaTheme="majorEastAsia"/>
          <w:sz w:val="28"/>
          <w:szCs w:val="28"/>
        </w:rPr>
        <w:t>与2021</w:t>
      </w:r>
      <w:r>
        <w:rPr>
          <w:rFonts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</w:rPr>
        <w:t>持平。</w:t>
      </w:r>
    </w:p>
    <w:p>
      <w:pPr>
        <w:ind w:firstLine="840" w:firstLineChars="300"/>
        <w:rPr>
          <w:rFonts w:ascii="宋体"/>
          <w:szCs w:val="21"/>
          <w:lang w:val="en-GB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表2 </w:t>
      </w:r>
      <w:r>
        <w:rPr>
          <w:rFonts w:hint="default" w:asciiTheme="majorEastAsia" w:hAnsiTheme="majorEastAsia" w:eastAsiaTheme="majorEastAsia"/>
          <w:sz w:val="28"/>
          <w:szCs w:val="28"/>
          <w:lang w:val="en"/>
        </w:rPr>
        <w:t xml:space="preserve">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2022年</w:t>
      </w:r>
      <w:r>
        <w:rPr>
          <w:rFonts w:hint="eastAsia" w:cs="Tahoma" w:asciiTheme="majorEastAsia" w:hAnsiTheme="majorEastAsia" w:eastAsiaTheme="majorEastAsia"/>
          <w:b/>
          <w:sz w:val="28"/>
          <w:szCs w:val="28"/>
        </w:rPr>
        <w:t>一季度</w:t>
      </w:r>
      <w:r>
        <w:rPr>
          <w:rFonts w:hint="eastAsia"/>
          <w:b/>
          <w:sz w:val="28"/>
          <w:szCs w:val="28"/>
        </w:rPr>
        <w:t>福州市</w:t>
      </w:r>
      <w:r>
        <w:rPr>
          <w:rFonts w:hint="eastAsia" w:ascii="宋体"/>
          <w:b/>
          <w:sz w:val="28"/>
          <w:szCs w:val="28"/>
          <w:lang w:val="en-GB"/>
        </w:rPr>
        <w:t>物流业增加值</w:t>
      </w:r>
      <w:r>
        <w:rPr>
          <w:rFonts w:hint="eastAsia" w:ascii="宋体"/>
          <w:b/>
          <w:sz w:val="28"/>
          <w:szCs w:val="28"/>
          <w:lang w:val="en-GB"/>
        </w:rPr>
        <w:tab/>
      </w:r>
      <w:r>
        <w:rPr>
          <w:rFonts w:hint="eastAsia" w:ascii="宋体"/>
          <w:szCs w:val="21"/>
          <w:lang w:val="en-GB"/>
        </w:rPr>
        <w:t>单位：亿元、%</w:t>
      </w:r>
    </w:p>
    <w:tbl>
      <w:tblPr>
        <w:tblStyle w:val="8"/>
        <w:tblW w:w="7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242"/>
        <w:gridCol w:w="1417"/>
        <w:gridCol w:w="198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3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指   标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一季度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一季度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同比增长（按可比价格计算）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36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物流增加值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131.34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120.57 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9.6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3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1.交通运输、仓储业、邮政业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81.3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80.36 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8.2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3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2.批发和零售业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50.02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40.21 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12.3 </w:t>
            </w:r>
          </w:p>
        </w:tc>
      </w:tr>
    </w:tbl>
    <w:p>
      <w:pPr>
        <w:ind w:firstLine="525" w:firstLineChars="250"/>
        <w:rPr>
          <w:rFonts w:ascii="宋体"/>
          <w:szCs w:val="21"/>
          <w:lang w:val="en-GB"/>
        </w:rPr>
      </w:pPr>
    </w:p>
    <w:p>
      <w:pPr>
        <w:ind w:firstLine="980" w:firstLineChars="350"/>
        <w:jc w:val="left"/>
        <w:rPr>
          <w:rFonts w:ascii="宋体" w:hAnsi="宋体" w:cs="Tahoma"/>
          <w:b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 xml:space="preserve">表3    </w:t>
      </w:r>
      <w:r>
        <w:rPr>
          <w:rFonts w:hint="eastAsia" w:ascii="宋体" w:hAnsi="宋体" w:cs="Tahoma"/>
          <w:b/>
          <w:bCs/>
          <w:kern w:val="0"/>
          <w:sz w:val="28"/>
          <w:szCs w:val="28"/>
        </w:rPr>
        <w:t>2022年一季度福州市</w:t>
      </w:r>
      <w:r>
        <w:rPr>
          <w:rFonts w:hint="eastAsia" w:ascii="宋体" w:hAnsi="宋体" w:cs="Tahoma"/>
          <w:b/>
          <w:kern w:val="0"/>
          <w:sz w:val="28"/>
          <w:szCs w:val="28"/>
        </w:rPr>
        <w:t>物流业增加值</w:t>
      </w:r>
    </w:p>
    <w:p>
      <w:pPr>
        <w:jc w:val="center"/>
        <w:rPr>
          <w:rFonts w:ascii="宋体" w:hAnsi="宋体" w:cs="Tahoma"/>
          <w:b/>
          <w:kern w:val="0"/>
          <w:sz w:val="28"/>
          <w:szCs w:val="28"/>
        </w:rPr>
      </w:pPr>
      <w:r>
        <w:rPr>
          <w:rFonts w:hint="eastAsia" w:ascii="宋体" w:hAnsi="宋体" w:cs="Tahoma"/>
          <w:b/>
          <w:kern w:val="0"/>
          <w:sz w:val="28"/>
          <w:szCs w:val="28"/>
        </w:rPr>
        <w:t>占第三产业及地区生产总值比重</w:t>
      </w:r>
    </w:p>
    <w:tbl>
      <w:tblPr>
        <w:tblStyle w:val="8"/>
        <w:tblW w:w="7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667"/>
        <w:gridCol w:w="1559"/>
        <w:gridCol w:w="141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物流业增加值（亿元）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占第三产业增加值比重（%）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占地区生产总值比重（%）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2021年1-12月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646.77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10.1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2022年1-3月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131.34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10.1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5.3 </w:t>
            </w:r>
          </w:p>
        </w:tc>
      </w:tr>
    </w:tbl>
    <w:p>
      <w:pPr>
        <w:ind w:firstLine="689" w:firstLineChars="245"/>
        <w:rPr>
          <w:rFonts w:cs="Arial"/>
          <w:b/>
          <w:sz w:val="28"/>
          <w:szCs w:val="28"/>
        </w:rPr>
      </w:pPr>
      <w:r>
        <w:rPr>
          <w:rStyle w:val="10"/>
          <w:rFonts w:hint="eastAsia" w:asciiTheme="majorEastAsia" w:hAnsiTheme="majorEastAsia" w:eastAsiaTheme="majorEastAsia"/>
          <w:sz w:val="28"/>
          <w:szCs w:val="28"/>
        </w:rPr>
        <w:t>三</w:t>
      </w:r>
      <w:r>
        <w:rPr>
          <w:rStyle w:val="10"/>
          <w:rFonts w:asciiTheme="majorEastAsia" w:hAnsiTheme="majorEastAsia" w:eastAsiaTheme="majorEastAsia"/>
          <w:sz w:val="28"/>
          <w:szCs w:val="28"/>
        </w:rPr>
        <w:t>、</w:t>
      </w:r>
      <w:r>
        <w:rPr>
          <w:rStyle w:val="10"/>
          <w:rFonts w:hint="eastAsia" w:asciiTheme="majorEastAsia" w:hAnsiTheme="majorEastAsia" w:eastAsiaTheme="majorEastAsia"/>
          <w:sz w:val="28"/>
          <w:szCs w:val="28"/>
        </w:rPr>
        <w:t>福州市</w:t>
      </w:r>
      <w:r>
        <w:rPr>
          <w:rStyle w:val="10"/>
          <w:rFonts w:asciiTheme="majorEastAsia" w:hAnsiTheme="majorEastAsia" w:eastAsiaTheme="majorEastAsia"/>
          <w:sz w:val="28"/>
          <w:szCs w:val="28"/>
        </w:rPr>
        <w:t>物流业投资</w:t>
      </w:r>
      <w:r>
        <w:rPr>
          <w:rStyle w:val="10"/>
          <w:rFonts w:hint="eastAsia" w:asciiTheme="majorEastAsia" w:hAnsiTheme="majorEastAsia" w:eastAsiaTheme="majorEastAsia"/>
          <w:sz w:val="28"/>
          <w:szCs w:val="28"/>
        </w:rPr>
        <w:t>运行快速恢复</w:t>
      </w:r>
    </w:p>
    <w:p>
      <w:pPr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Tahoma" w:asciiTheme="majorEastAsia" w:hAnsiTheme="majorEastAsia" w:eastAsiaTheme="majorEastAsia"/>
          <w:sz w:val="28"/>
          <w:szCs w:val="28"/>
        </w:rPr>
        <w:t>一季度，</w:t>
      </w:r>
      <w:r>
        <w:rPr>
          <w:rFonts w:hint="eastAsia" w:asciiTheme="majorEastAsia" w:hAnsiTheme="majorEastAsia" w:eastAsiaTheme="majorEastAsia"/>
          <w:sz w:val="28"/>
          <w:szCs w:val="28"/>
        </w:rPr>
        <w:t>全市</w:t>
      </w:r>
      <w:r>
        <w:rPr>
          <w:rFonts w:asciiTheme="majorEastAsia" w:hAnsiTheme="majorEastAsia" w:eastAsiaTheme="majorEastAsia"/>
          <w:sz w:val="28"/>
          <w:szCs w:val="28"/>
        </w:rPr>
        <w:t>物流业固定资产投资完成额比</w:t>
      </w:r>
      <w:r>
        <w:rPr>
          <w:rFonts w:hint="eastAsia" w:asciiTheme="majorEastAsia" w:hAnsiTheme="majorEastAsia" w:eastAsiaTheme="majorEastAsia"/>
          <w:sz w:val="28"/>
          <w:szCs w:val="28"/>
        </w:rPr>
        <w:t>上年同期增长26.5</w:t>
      </w:r>
      <w:r>
        <w:rPr>
          <w:rFonts w:asciiTheme="majorEastAsia" w:hAnsiTheme="majorEastAsia" w:eastAsiaTheme="majorEastAsia"/>
          <w:sz w:val="28"/>
          <w:szCs w:val="28"/>
        </w:rPr>
        <w:t>%</w:t>
      </w:r>
      <w:r>
        <w:rPr>
          <w:rFonts w:hint="eastAsia" w:asciiTheme="majorEastAsia" w:hAnsiTheme="majorEastAsia" w:eastAsiaTheme="majorEastAsia"/>
          <w:sz w:val="28"/>
          <w:szCs w:val="28"/>
        </w:rPr>
        <w:t>，比2021年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增速（10.8%）提高15.7个百分点</w:t>
      </w:r>
      <w:r>
        <w:rPr>
          <w:rFonts w:hint="eastAsia" w:cs="Tahoma" w:asciiTheme="majorEastAsia" w:hAnsiTheme="majorEastAsia" w:eastAsiaTheme="majorEastAsia"/>
          <w:bCs/>
          <w:sz w:val="28"/>
          <w:szCs w:val="28"/>
        </w:rPr>
        <w:t>。其中</w:t>
      </w:r>
      <w:r>
        <w:rPr>
          <w:rFonts w:hint="eastAsia" w:asciiTheme="majorEastAsia" w:hAnsiTheme="majorEastAsia" w:eastAsiaTheme="majorEastAsia"/>
          <w:sz w:val="28"/>
          <w:szCs w:val="28"/>
        </w:rPr>
        <w:t>交通运输、仓储业、邮政业</w:t>
      </w:r>
      <w:r>
        <w:rPr>
          <w:rFonts w:asciiTheme="majorEastAsia" w:hAnsiTheme="majorEastAsia" w:eastAsiaTheme="majorEastAsia"/>
          <w:sz w:val="28"/>
          <w:szCs w:val="28"/>
        </w:rPr>
        <w:t>投资</w:t>
      </w:r>
      <w:r>
        <w:rPr>
          <w:rFonts w:hint="eastAsia" w:asciiTheme="majorEastAsia" w:hAnsiTheme="majorEastAsia" w:eastAsiaTheme="majorEastAsia"/>
          <w:sz w:val="28"/>
          <w:szCs w:val="28"/>
        </w:rPr>
        <w:t>增长27.5%，比2021年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增速（-15.4%）提高42.9个百分点</w:t>
      </w:r>
      <w:r>
        <w:rPr>
          <w:rFonts w:hint="eastAsia" w:cs="Tahoma" w:asciiTheme="majorEastAsia" w:hAnsiTheme="majorEastAsia" w:eastAsiaTheme="majorEastAsia"/>
          <w:bCs/>
          <w:sz w:val="28"/>
          <w:szCs w:val="28"/>
        </w:rPr>
        <w:t>；</w:t>
      </w:r>
      <w:r>
        <w:rPr>
          <w:rFonts w:hint="eastAsia" w:asciiTheme="majorEastAsia" w:hAnsiTheme="majorEastAsia" w:eastAsiaTheme="majorEastAsia"/>
          <w:sz w:val="28"/>
          <w:szCs w:val="28"/>
        </w:rPr>
        <w:t>批发零售业</w:t>
      </w:r>
      <w:r>
        <w:rPr>
          <w:rFonts w:asciiTheme="majorEastAsia" w:hAnsiTheme="majorEastAsia" w:eastAsiaTheme="majorEastAsia"/>
          <w:sz w:val="28"/>
          <w:szCs w:val="28"/>
        </w:rPr>
        <w:t>投资</w:t>
      </w:r>
      <w:r>
        <w:rPr>
          <w:rFonts w:hint="eastAsia" w:asciiTheme="majorEastAsia" w:hAnsiTheme="majorEastAsia" w:eastAsiaTheme="majorEastAsia"/>
          <w:sz w:val="28"/>
          <w:szCs w:val="28"/>
        </w:rPr>
        <w:t>下降63.1%，比2021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增速（21.2%）减少84.3个百分点</w:t>
      </w:r>
      <w:r>
        <w:rPr>
          <w:rFonts w:asciiTheme="majorEastAsia" w:hAnsiTheme="majorEastAsia" w:eastAsiaTheme="maj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总体来看，一季度全市物流业实现了“开门稳”，但在国内散发多发疫情、油价一路走高等因素影响下，正在面临物流受阻，运输不畅，成本高企等多个难题，物流业下行压力有所加大。下一步，要全面落实省委省政府和市委市政府各项决策部署，统筹疫情防控和经济社会发展，在“稳”“行”“效”上下大力气，促进物流有序恢复发展：一是固“稳”，要继续把稳运行作为头等大事，主动作为、奋力攻坚，采取更加有力有效措施，促进物流业平稳健康发展。二是抓“行”，要运用好“福建行”平台成果，完善“白名单”制度，优化通行证办理服务，加强货物运输畅通保障。三是提“效”，调度要精准高效，盯住关键、盯紧堵点，实时动态调整政策举措，畅通物流链和国民经济循环。</w:t>
      </w:r>
    </w:p>
    <w:p>
      <w:pPr>
        <w:ind w:firstLine="619" w:firstLineChars="295"/>
        <w:jc w:val="left"/>
        <w:rPr>
          <w:rFonts w:asciiTheme="majorEastAsia" w:hAnsiTheme="majorEastAsia" w:eastAsiaTheme="majorEastAsia"/>
          <w:szCs w:val="21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</w:pPr>
      <w:r>
        <w:rPr>
          <w:rStyle w:val="12"/>
        </w:rPr>
        <w:footnoteRef/>
      </w:r>
      <w:r>
        <w:rPr>
          <w:rFonts w:hint="eastAsia" w:asciiTheme="majorEastAsia" w:hAnsiTheme="majorEastAsia" w:eastAsiaTheme="majorEastAsia"/>
        </w:rPr>
        <w:t>可比价格：</w:t>
      </w:r>
      <w:r>
        <w:rPr>
          <w:rFonts w:cs="Arial" w:asciiTheme="majorEastAsia" w:hAnsiTheme="majorEastAsia" w:eastAsiaTheme="majorEastAsia"/>
          <w:shd w:val="clear" w:color="auto" w:fill="FFFFFF"/>
        </w:rPr>
        <w:t>指计算</w:t>
      </w:r>
      <w:r>
        <w:rPr>
          <w:rFonts w:hint="eastAsia" w:cs="Arial" w:asciiTheme="majorEastAsia" w:hAnsiTheme="majorEastAsia" w:eastAsiaTheme="majorEastAsia"/>
          <w:shd w:val="clear" w:color="auto" w:fill="FFFFFF"/>
        </w:rPr>
        <w:t>物流总量</w:t>
      </w:r>
      <w:r>
        <w:rPr>
          <w:rFonts w:cs="Arial" w:asciiTheme="majorEastAsia" w:hAnsiTheme="majorEastAsia" w:eastAsiaTheme="majorEastAsia"/>
          <w:shd w:val="clear" w:color="auto" w:fill="FFFFFF"/>
        </w:rPr>
        <w:t>指标所采用的扣除了价格变动因素的价格，可进行不同时期总量指标的对比。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773"/>
    <w:rsid w:val="000124AD"/>
    <w:rsid w:val="00014904"/>
    <w:rsid w:val="000318E3"/>
    <w:rsid w:val="00040997"/>
    <w:rsid w:val="00047007"/>
    <w:rsid w:val="00050200"/>
    <w:rsid w:val="0005480B"/>
    <w:rsid w:val="0006277A"/>
    <w:rsid w:val="0006684B"/>
    <w:rsid w:val="00070D76"/>
    <w:rsid w:val="000713F5"/>
    <w:rsid w:val="00075B35"/>
    <w:rsid w:val="00076C6B"/>
    <w:rsid w:val="00087E54"/>
    <w:rsid w:val="00094B00"/>
    <w:rsid w:val="00095BE4"/>
    <w:rsid w:val="000A4C73"/>
    <w:rsid w:val="000A7715"/>
    <w:rsid w:val="000B38CD"/>
    <w:rsid w:val="000D165B"/>
    <w:rsid w:val="000E14A9"/>
    <w:rsid w:val="000F2F07"/>
    <w:rsid w:val="0010275B"/>
    <w:rsid w:val="00103D2B"/>
    <w:rsid w:val="001079E3"/>
    <w:rsid w:val="001115B7"/>
    <w:rsid w:val="001118AC"/>
    <w:rsid w:val="00112971"/>
    <w:rsid w:val="0011307E"/>
    <w:rsid w:val="0011330F"/>
    <w:rsid w:val="00113EEF"/>
    <w:rsid w:val="00130094"/>
    <w:rsid w:val="001355F2"/>
    <w:rsid w:val="00140B41"/>
    <w:rsid w:val="001425A7"/>
    <w:rsid w:val="0015307A"/>
    <w:rsid w:val="001535F6"/>
    <w:rsid w:val="00164635"/>
    <w:rsid w:val="00174FAF"/>
    <w:rsid w:val="00181BEA"/>
    <w:rsid w:val="00184AF0"/>
    <w:rsid w:val="00192635"/>
    <w:rsid w:val="001A4370"/>
    <w:rsid w:val="001D3760"/>
    <w:rsid w:val="001D389B"/>
    <w:rsid w:val="001E79D2"/>
    <w:rsid w:val="001E7C6E"/>
    <w:rsid w:val="001F0667"/>
    <w:rsid w:val="00205D62"/>
    <w:rsid w:val="00222222"/>
    <w:rsid w:val="00240653"/>
    <w:rsid w:val="00240FCE"/>
    <w:rsid w:val="00246086"/>
    <w:rsid w:val="00253916"/>
    <w:rsid w:val="002563D6"/>
    <w:rsid w:val="00275097"/>
    <w:rsid w:val="00280D5D"/>
    <w:rsid w:val="00295824"/>
    <w:rsid w:val="002C1966"/>
    <w:rsid w:val="002D055F"/>
    <w:rsid w:val="002D646F"/>
    <w:rsid w:val="002E73BB"/>
    <w:rsid w:val="003118D3"/>
    <w:rsid w:val="00311D56"/>
    <w:rsid w:val="0033068A"/>
    <w:rsid w:val="00364A5F"/>
    <w:rsid w:val="0037568F"/>
    <w:rsid w:val="00376FDA"/>
    <w:rsid w:val="003853D3"/>
    <w:rsid w:val="00394B8B"/>
    <w:rsid w:val="003A64B7"/>
    <w:rsid w:val="003A6E8F"/>
    <w:rsid w:val="003C2261"/>
    <w:rsid w:val="003E2F00"/>
    <w:rsid w:val="00400658"/>
    <w:rsid w:val="00403876"/>
    <w:rsid w:val="00405A36"/>
    <w:rsid w:val="00405F5C"/>
    <w:rsid w:val="00420E3D"/>
    <w:rsid w:val="00426B86"/>
    <w:rsid w:val="004316A7"/>
    <w:rsid w:val="00432016"/>
    <w:rsid w:val="00437CA4"/>
    <w:rsid w:val="00444583"/>
    <w:rsid w:val="00455773"/>
    <w:rsid w:val="00456E9B"/>
    <w:rsid w:val="00467D92"/>
    <w:rsid w:val="00473563"/>
    <w:rsid w:val="00494B5D"/>
    <w:rsid w:val="004A6042"/>
    <w:rsid w:val="004C00A1"/>
    <w:rsid w:val="004C2EAB"/>
    <w:rsid w:val="004C376F"/>
    <w:rsid w:val="004D0338"/>
    <w:rsid w:val="004E159B"/>
    <w:rsid w:val="004E4096"/>
    <w:rsid w:val="004E60AD"/>
    <w:rsid w:val="00510207"/>
    <w:rsid w:val="005174DF"/>
    <w:rsid w:val="00525F20"/>
    <w:rsid w:val="00527FA9"/>
    <w:rsid w:val="0053191E"/>
    <w:rsid w:val="00532C3D"/>
    <w:rsid w:val="005559AE"/>
    <w:rsid w:val="0056195E"/>
    <w:rsid w:val="005705FE"/>
    <w:rsid w:val="005855D1"/>
    <w:rsid w:val="005870C1"/>
    <w:rsid w:val="00596DC5"/>
    <w:rsid w:val="005B6086"/>
    <w:rsid w:val="005B724E"/>
    <w:rsid w:val="005C4BE6"/>
    <w:rsid w:val="005C6235"/>
    <w:rsid w:val="005D12B8"/>
    <w:rsid w:val="005D28E5"/>
    <w:rsid w:val="005D578D"/>
    <w:rsid w:val="005D7824"/>
    <w:rsid w:val="005E59DE"/>
    <w:rsid w:val="005F0642"/>
    <w:rsid w:val="00600B39"/>
    <w:rsid w:val="00606848"/>
    <w:rsid w:val="00625029"/>
    <w:rsid w:val="006325A6"/>
    <w:rsid w:val="00646099"/>
    <w:rsid w:val="0066061C"/>
    <w:rsid w:val="00662D2A"/>
    <w:rsid w:val="00665518"/>
    <w:rsid w:val="006703E6"/>
    <w:rsid w:val="00670BC9"/>
    <w:rsid w:val="0067738A"/>
    <w:rsid w:val="00682C38"/>
    <w:rsid w:val="00687984"/>
    <w:rsid w:val="006A2D7D"/>
    <w:rsid w:val="006B5F56"/>
    <w:rsid w:val="006C45CB"/>
    <w:rsid w:val="006D0F27"/>
    <w:rsid w:val="006E492B"/>
    <w:rsid w:val="00704330"/>
    <w:rsid w:val="007509AC"/>
    <w:rsid w:val="00752241"/>
    <w:rsid w:val="00752FE5"/>
    <w:rsid w:val="00753420"/>
    <w:rsid w:val="0076479C"/>
    <w:rsid w:val="0076662B"/>
    <w:rsid w:val="00782FAE"/>
    <w:rsid w:val="007A3001"/>
    <w:rsid w:val="007B28B1"/>
    <w:rsid w:val="007B60C0"/>
    <w:rsid w:val="007B736C"/>
    <w:rsid w:val="007C5858"/>
    <w:rsid w:val="007D59B9"/>
    <w:rsid w:val="007E135F"/>
    <w:rsid w:val="007E4308"/>
    <w:rsid w:val="007E6FBD"/>
    <w:rsid w:val="00801317"/>
    <w:rsid w:val="00801EA9"/>
    <w:rsid w:val="00803A16"/>
    <w:rsid w:val="00816914"/>
    <w:rsid w:val="00826AEA"/>
    <w:rsid w:val="0083111B"/>
    <w:rsid w:val="008430B6"/>
    <w:rsid w:val="00862BC7"/>
    <w:rsid w:val="00872FF6"/>
    <w:rsid w:val="00875A12"/>
    <w:rsid w:val="00886A87"/>
    <w:rsid w:val="008A5D91"/>
    <w:rsid w:val="008B08D7"/>
    <w:rsid w:val="008B1F18"/>
    <w:rsid w:val="008F00A3"/>
    <w:rsid w:val="0090163F"/>
    <w:rsid w:val="00923FF0"/>
    <w:rsid w:val="00966DB8"/>
    <w:rsid w:val="009775FD"/>
    <w:rsid w:val="009A1A5E"/>
    <w:rsid w:val="009A330D"/>
    <w:rsid w:val="009B71E5"/>
    <w:rsid w:val="009C11B7"/>
    <w:rsid w:val="009C5295"/>
    <w:rsid w:val="009F3AA2"/>
    <w:rsid w:val="00A1181C"/>
    <w:rsid w:val="00A30C8C"/>
    <w:rsid w:val="00A47ACF"/>
    <w:rsid w:val="00A60C47"/>
    <w:rsid w:val="00A64ED5"/>
    <w:rsid w:val="00A65721"/>
    <w:rsid w:val="00A75013"/>
    <w:rsid w:val="00A7556E"/>
    <w:rsid w:val="00A7607E"/>
    <w:rsid w:val="00A76A2C"/>
    <w:rsid w:val="00A7780B"/>
    <w:rsid w:val="00A8097D"/>
    <w:rsid w:val="00A80F1D"/>
    <w:rsid w:val="00A87458"/>
    <w:rsid w:val="00AA3202"/>
    <w:rsid w:val="00AB4ABD"/>
    <w:rsid w:val="00AC7B2C"/>
    <w:rsid w:val="00AF3936"/>
    <w:rsid w:val="00AF56BA"/>
    <w:rsid w:val="00B12CCA"/>
    <w:rsid w:val="00B1517D"/>
    <w:rsid w:val="00B16B44"/>
    <w:rsid w:val="00B260DA"/>
    <w:rsid w:val="00B40A09"/>
    <w:rsid w:val="00B43B3C"/>
    <w:rsid w:val="00B470F4"/>
    <w:rsid w:val="00B5028E"/>
    <w:rsid w:val="00B5548D"/>
    <w:rsid w:val="00B7457B"/>
    <w:rsid w:val="00B818B5"/>
    <w:rsid w:val="00B92E7B"/>
    <w:rsid w:val="00BB0DA0"/>
    <w:rsid w:val="00BB0FB4"/>
    <w:rsid w:val="00BC5B32"/>
    <w:rsid w:val="00BE0E7F"/>
    <w:rsid w:val="00BF43BD"/>
    <w:rsid w:val="00C0061A"/>
    <w:rsid w:val="00C27567"/>
    <w:rsid w:val="00C3725F"/>
    <w:rsid w:val="00C425B3"/>
    <w:rsid w:val="00C430B9"/>
    <w:rsid w:val="00C51948"/>
    <w:rsid w:val="00C56488"/>
    <w:rsid w:val="00C6353E"/>
    <w:rsid w:val="00C643D9"/>
    <w:rsid w:val="00C94BB1"/>
    <w:rsid w:val="00CA5BEA"/>
    <w:rsid w:val="00CB7BF5"/>
    <w:rsid w:val="00CC636D"/>
    <w:rsid w:val="00CC78E9"/>
    <w:rsid w:val="00CD4ED3"/>
    <w:rsid w:val="00CF12BE"/>
    <w:rsid w:val="00CF457E"/>
    <w:rsid w:val="00CF67F5"/>
    <w:rsid w:val="00D007BD"/>
    <w:rsid w:val="00D366C1"/>
    <w:rsid w:val="00D4096E"/>
    <w:rsid w:val="00D41920"/>
    <w:rsid w:val="00D6474F"/>
    <w:rsid w:val="00D7062A"/>
    <w:rsid w:val="00D72BCA"/>
    <w:rsid w:val="00D83DC5"/>
    <w:rsid w:val="00D84F2D"/>
    <w:rsid w:val="00D87041"/>
    <w:rsid w:val="00D949A6"/>
    <w:rsid w:val="00DB1ED9"/>
    <w:rsid w:val="00DB31C9"/>
    <w:rsid w:val="00DC0700"/>
    <w:rsid w:val="00DC3707"/>
    <w:rsid w:val="00DE053A"/>
    <w:rsid w:val="00E05714"/>
    <w:rsid w:val="00E0658A"/>
    <w:rsid w:val="00E06F82"/>
    <w:rsid w:val="00E15DC4"/>
    <w:rsid w:val="00E17EF3"/>
    <w:rsid w:val="00E20F08"/>
    <w:rsid w:val="00E25058"/>
    <w:rsid w:val="00E25322"/>
    <w:rsid w:val="00E32808"/>
    <w:rsid w:val="00E366D9"/>
    <w:rsid w:val="00E379E1"/>
    <w:rsid w:val="00E439AE"/>
    <w:rsid w:val="00E503DA"/>
    <w:rsid w:val="00E575B1"/>
    <w:rsid w:val="00E65747"/>
    <w:rsid w:val="00E667F2"/>
    <w:rsid w:val="00E73A3F"/>
    <w:rsid w:val="00E8126D"/>
    <w:rsid w:val="00E90072"/>
    <w:rsid w:val="00E91634"/>
    <w:rsid w:val="00EA7370"/>
    <w:rsid w:val="00EC09A1"/>
    <w:rsid w:val="00EC2205"/>
    <w:rsid w:val="00EC3606"/>
    <w:rsid w:val="00EC69FE"/>
    <w:rsid w:val="00EC72FD"/>
    <w:rsid w:val="00EC7B62"/>
    <w:rsid w:val="00ED2273"/>
    <w:rsid w:val="00EE1A65"/>
    <w:rsid w:val="00EF16B2"/>
    <w:rsid w:val="00EF31AC"/>
    <w:rsid w:val="00EF47FA"/>
    <w:rsid w:val="00EF58EA"/>
    <w:rsid w:val="00EF661E"/>
    <w:rsid w:val="00F00BD0"/>
    <w:rsid w:val="00F072C0"/>
    <w:rsid w:val="00F20E45"/>
    <w:rsid w:val="00F465C4"/>
    <w:rsid w:val="00F6175C"/>
    <w:rsid w:val="00F6452F"/>
    <w:rsid w:val="00F652C5"/>
    <w:rsid w:val="00F731C6"/>
    <w:rsid w:val="00FA1AAC"/>
    <w:rsid w:val="00FA707F"/>
    <w:rsid w:val="00FC06F5"/>
    <w:rsid w:val="00FC2A29"/>
    <w:rsid w:val="00FC563C"/>
    <w:rsid w:val="00FC74C0"/>
    <w:rsid w:val="00FD3F5C"/>
    <w:rsid w:val="00FD6828"/>
    <w:rsid w:val="00FE6DF2"/>
    <w:rsid w:val="00FE76A7"/>
    <w:rsid w:val="00FF6C7A"/>
    <w:rsid w:val="16373124"/>
    <w:rsid w:val="1F552CFC"/>
    <w:rsid w:val="2672712B"/>
    <w:rsid w:val="2C8D1C09"/>
    <w:rsid w:val="2EBB3037"/>
    <w:rsid w:val="541E10E4"/>
    <w:rsid w:val="6A7412A0"/>
    <w:rsid w:val="71856CE5"/>
    <w:rsid w:val="7528502A"/>
    <w:rsid w:val="7C796768"/>
    <w:rsid w:val="9BED6885"/>
    <w:rsid w:val="E7DD1C9A"/>
    <w:rsid w:val="F7E5E5BB"/>
    <w:rsid w:val="FADBF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18"/>
    <w:unhideWhenUsed/>
    <w:qFormat/>
    <w:uiPriority w:val="99"/>
    <w:pPr>
      <w:snapToGrid w:val="0"/>
      <w:jc w:val="left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5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脚注文本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尾注文本 Char"/>
    <w:basedOn w:val="9"/>
    <w:link w:val="3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1184</Words>
  <Characters>1509</Characters>
  <Lines>21</Lines>
  <Paragraphs>5</Paragraphs>
  <TotalTime>3</TotalTime>
  <ScaleCrop>false</ScaleCrop>
  <LinksUpToDate>false</LinksUpToDate>
  <CharactersWithSpaces>1561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2018-07-21T08:06:00Z</dcterms:created>
  <dc:creator>微软用户</dc:creator>
  <cp:lastModifiedBy>Yangjie</cp:lastModifiedBy>
  <cp:lastPrinted>2021-08-25T01:53:00Z</cp:lastPrinted>
  <dcterms:modified xsi:type="dcterms:W3CDTF">2022-05-12T00:58:53Z</dcterms:modified>
  <dc:title>2022年一季度福州市物流业运行情况报告</dc:title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695396A868904E8AA4CF8B562012991A</vt:lpwstr>
  </property>
</Properties>
</file>